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Pr>
          <w:rStyle w:val="FootnoteReference"/>
          <w:color w:val="FFFFFF" w:themeColor="background1"/>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779B9170"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using schedule and real-time vehicle data published via the General Transit Feed Specification (GTFS)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 We also simulate the impacts of dedicated bus lanes (DBLs) on the overall transfer performance and different types of transfers. </w:t>
      </w:r>
      <w:r w:rsidR="00231898">
        <w:rPr>
          <w:rFonts w:ascii="Times New Roman" w:eastAsia="Yu Mincho" w:hAnsi="Times New Roman" w:cs="Times New Roman"/>
          <w:sz w:val="24"/>
          <w:szCs w:val="24"/>
          <w:lang w:eastAsia="ja-JP"/>
        </w:rPr>
        <w:t xml:space="preserve">We also conclude that it is </w:t>
      </w:r>
      <w:r w:rsidR="00636DD3">
        <w:rPr>
          <w:rFonts w:ascii="Times New Roman" w:eastAsia="Yu Mincho" w:hAnsi="Times New Roman" w:cs="Times New Roman"/>
          <w:sz w:val="24"/>
          <w:szCs w:val="24"/>
          <w:lang w:eastAsia="ja-JP"/>
        </w:rPr>
        <w:t>more effective</w:t>
      </w:r>
      <w:r w:rsidR="00231898">
        <w:rPr>
          <w:rFonts w:ascii="Times New Roman" w:eastAsia="Yu Mincho" w:hAnsi="Times New Roman" w:cs="Times New Roman"/>
          <w:sz w:val="24"/>
          <w:szCs w:val="24"/>
          <w:lang w:eastAsia="ja-JP"/>
        </w:rPr>
        <w:t xml:space="preserve"> to control delay, instead of synchronization, to reduce </w:t>
      </w:r>
      <w:r w:rsidR="00025604">
        <w:rPr>
          <w:rFonts w:ascii="Times New Roman" w:eastAsia="Yu Mincho" w:hAnsi="Times New Roman" w:cs="Times New Roman"/>
          <w:sz w:val="24"/>
          <w:szCs w:val="24"/>
          <w:lang w:eastAsia="ja-JP"/>
        </w:rPr>
        <w:t>transit user’s total time penalty</w:t>
      </w:r>
      <w:r w:rsidR="0023189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w:t>
      </w:r>
      <w:r>
        <w:rPr>
          <w:rFonts w:ascii="Times New Roman" w:eastAsia="Yu Mincho" w:hAnsi="Times New Roman" w:cs="Times New Roman"/>
          <w:sz w:val="24"/>
          <w:szCs w:val="24"/>
          <w:lang w:eastAsia="ja-JP"/>
        </w:rPr>
        <w:lastRenderedPageBreak/>
        <w:t xml:space="preserve">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0"/>
      <w:r>
        <w:rPr>
          <w:rFonts w:ascii="Times New Roman" w:eastAsia="Yu Mincho" w:hAnsi="Times New Roman" w:cs="Times New Roman"/>
          <w:b/>
          <w:sz w:val="24"/>
          <w:szCs w:val="24"/>
          <w:lang w:eastAsia="ja-JP"/>
        </w:rPr>
        <w:t>Literature review</w:t>
      </w:r>
      <w:commentRangeEnd w:id="0"/>
      <w:r w:rsidR="00FC445C">
        <w:rPr>
          <w:rStyle w:val="CommentReference"/>
        </w:rPr>
        <w:commentReference w:id="0"/>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w:t>
      </w:r>
      <w:r>
        <w:rPr>
          <w:rFonts w:ascii="Times New Roman" w:eastAsia="Yu Mincho" w:hAnsi="Times New Roman" w:cs="Times New Roman"/>
          <w:sz w:val="24"/>
          <w:szCs w:val="24"/>
          <w:lang w:eastAsia="ja-JP"/>
        </w:rPr>
        <w:lastRenderedPageBreak/>
        <w:t xml:space="preserve">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w:t>
      </w:r>
      <w:proofErr w:type="spellStart"/>
      <w:r>
        <w:rPr>
          <w:rFonts w:ascii="Times New Roman" w:eastAsia="Yu Mincho" w:hAnsi="Times New Roman" w:cs="Times New Roman"/>
          <w:sz w:val="24"/>
          <w:szCs w:val="24"/>
          <w:lang w:eastAsia="ja-JP"/>
        </w:rPr>
        <w:t>Guo</w:t>
      </w:r>
      <w:proofErr w:type="spellEnd"/>
      <w:r>
        <w:rPr>
          <w:rFonts w:ascii="Times New Roman" w:eastAsia="Yu Mincho" w:hAnsi="Times New Roman" w:cs="Times New Roman"/>
          <w:sz w:val="24"/>
          <w:szCs w:val="24"/>
          <w:lang w:eastAsia="ja-JP"/>
        </w:rPr>
        <w:t xml:space="preserve"> and Wilson (2011) </w:t>
      </w:r>
      <w:commentRangeStart w:id="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1"/>
      <w:r w:rsidR="001A19D6">
        <w:rPr>
          <w:rStyle w:val="CommentReference"/>
        </w:rPr>
        <w:commentReference w:id="1"/>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the choice dimension is typically small, meaning that SP data may not be able to capture the full diversity of transfer situations (</w:t>
      </w:r>
      <w:proofErr w:type="spellStart"/>
      <w:r w:rsidR="00491109">
        <w:rPr>
          <w:rFonts w:ascii="Times New Roman" w:eastAsia="Yu Mincho" w:hAnsi="Times New Roman" w:cs="Times New Roman"/>
          <w:sz w:val="24"/>
          <w:szCs w:val="24"/>
          <w:lang w:eastAsia="ja-JP"/>
        </w:rPr>
        <w:t>Bovy</w:t>
      </w:r>
      <w:proofErr w:type="spellEnd"/>
      <w:r w:rsidR="00491109">
        <w:rPr>
          <w:rFonts w:ascii="Times New Roman" w:eastAsia="Yu Mincho" w:hAnsi="Times New Roman" w:cs="Times New Roman"/>
          <w:sz w:val="24"/>
          <w:szCs w:val="24"/>
          <w:lang w:eastAsia="ja-JP"/>
        </w:rPr>
        <w:t xml:space="preserve">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t>
      </w:r>
      <w:r w:rsidR="00177107">
        <w:rPr>
          <w:rFonts w:ascii="Times New Roman" w:eastAsia="Yu Mincho" w:hAnsi="Times New Roman" w:cs="Times New Roman"/>
          <w:sz w:val="24"/>
          <w:szCs w:val="24"/>
          <w:lang w:eastAsia="ja-JP"/>
        </w:rPr>
        <w:lastRenderedPageBreak/>
        <w:t>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analyzed travel time and transfer based on Pareto-optimal theory and conducted a case study in Helsinki, Finland. The paper calculated pre-journey waiting time, journey duration, and number of required transfers for all Pareto-optimal 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developed a system performance-indicator model and built an agent-based model to simulate real-time performance. The study used GTFS schedule and </w:t>
      </w:r>
      <w:proofErr w:type="spellStart"/>
      <w:r>
        <w:rPr>
          <w:rFonts w:ascii="Times New Roman" w:eastAsia="Yu Mincho" w:hAnsi="Times New Roman" w:cs="Times New Roman"/>
          <w:sz w:val="24"/>
          <w:szCs w:val="24"/>
          <w:lang w:eastAsia="ja-JP"/>
        </w:rPr>
        <w:t>OpenStreet</w:t>
      </w:r>
      <w:proofErr w:type="spellEnd"/>
      <w:r>
        <w:rPr>
          <w:rFonts w:ascii="Times New Roman" w:eastAsia="Yu Mincho" w:hAnsi="Times New Roman" w:cs="Times New Roman"/>
          <w:sz w:val="24"/>
          <w:szCs w:val="24"/>
          <w:lang w:eastAsia="ja-JP"/>
        </w:rPr>
        <w:t xml:space="preserve">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087F5DB7" w:rsidR="00491109" w:rsidRDefault="00B66BD0"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The literature review clearly shows that: d</w:t>
      </w:r>
      <w:r>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Pr>
          <w:rFonts w:ascii="Times New Roman" w:hAnsi="Times New Roman" w:cs="Times New Roman"/>
          <w:sz w:val="24"/>
          <w:szCs w:val="24"/>
        </w:rPr>
        <w:t xml:space="preserve"> problems using the high-resolution GTFS datasets.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lastRenderedPageBreak/>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56AA408A" w:rsidR="0044586E" w:rsidRPr="00247565"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 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w:t>
      </w:r>
      <w:r w:rsidR="00051663">
        <w:rPr>
          <w:rFonts w:ascii="Times New Roman" w:eastAsia="Yu Mincho" w:hAnsi="Times New Roman" w:cs="Times New Roman"/>
          <w:sz w:val="24"/>
          <w:szCs w:val="24"/>
          <w:lang w:eastAsia="ja-JP"/>
        </w:rPr>
        <w:t xml:space="preserve"> </w:t>
      </w: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32B5ED5D" w14:textId="003EFC41" w:rsidR="00247565" w:rsidRDefault="00F440AF" w:rsidP="00B53413">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p>
    <w:p w14:paraId="6D171744" w14:textId="371250BE" w:rsidR="00247565" w:rsidRDefault="00B53413"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Pr>
          <w:rFonts w:ascii="Times New Roman" w:eastAsia="Yu Mincho" w:hAnsi="Times New Roman" w:cs="Times New Roman"/>
          <w:sz w:val="24"/>
          <w:szCs w:val="24"/>
          <w:lang w:eastAsia="ja-JP"/>
        </w:rPr>
        <w:t xml:space="preserve">we cannot conduct any analyses solely based on APC data. </w:t>
      </w:r>
      <w:r w:rsidR="00247565">
        <w:rPr>
          <w:rFonts w:ascii="Times New Roman" w:eastAsia="Yu Mincho" w:hAnsi="Times New Roman" w:cs="Times New Roman"/>
          <w:sz w:val="24"/>
          <w:szCs w:val="24"/>
          <w:lang w:eastAsia="ja-JP"/>
        </w:rPr>
        <w:t>To make it feasible to utilize APC data as a possible data source and compensate for the mentioned drawbacks, we will merge the raw APC data and the GTFS data into a new APC dataset</w:t>
      </w:r>
      <w:r>
        <w:rPr>
          <w:rFonts w:ascii="Times New Roman" w:eastAsia="Yu Mincho" w:hAnsi="Times New Roman" w:cs="Times New Roman"/>
          <w:sz w:val="24"/>
          <w:szCs w:val="24"/>
          <w:lang w:eastAsia="ja-JP"/>
        </w:rPr>
        <w:t xml:space="preserve">; then we will calculate the results with the both the original </w:t>
      </w:r>
      <w:r w:rsidR="00BC0D9A">
        <w:rPr>
          <w:rFonts w:ascii="Times New Roman" w:eastAsia="Yu Mincho" w:hAnsi="Times New Roman" w:cs="Times New Roman"/>
          <w:sz w:val="24"/>
          <w:szCs w:val="24"/>
          <w:lang w:eastAsia="ja-JP"/>
        </w:rPr>
        <w:t xml:space="preserve">GTFS </w:t>
      </w:r>
      <w:r>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Pr>
          <w:rFonts w:ascii="Times New Roman" w:eastAsia="Yu Mincho" w:hAnsi="Times New Roman" w:cs="Times New Roman"/>
          <w:sz w:val="24"/>
          <w:szCs w:val="24"/>
          <w:lang w:eastAsia="ja-JP"/>
        </w:rPr>
        <w:t>GTFS dataset.</w:t>
      </w:r>
      <w:r w:rsidR="00247565">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w:t>
      </w:r>
      <w:proofErr w:type="spellStart"/>
      <w:r>
        <w:rPr>
          <w:rFonts w:ascii="Times New Roman" w:eastAsia="Yu Mincho" w:hAnsi="Times New Roman" w:cs="Times New Roman"/>
          <w:sz w:val="24"/>
          <w:szCs w:val="24"/>
          <w:lang w:eastAsia="ja-JP"/>
        </w:rPr>
        <w:t>Hadas</w:t>
      </w:r>
      <w:proofErr w:type="spellEnd"/>
      <w:r>
        <w:rPr>
          <w:rFonts w:ascii="Times New Roman" w:eastAsia="Yu Mincho" w:hAnsi="Times New Roman" w:cs="Times New Roman"/>
          <w:sz w:val="24"/>
          <w:szCs w:val="24"/>
          <w:lang w:eastAsia="ja-JP"/>
        </w:rPr>
        <w:t xml:space="preserve"> and </w:t>
      </w:r>
      <w:proofErr w:type="spellStart"/>
      <w:r>
        <w:rPr>
          <w:rFonts w:ascii="Times New Roman" w:eastAsia="Yu Mincho" w:hAnsi="Times New Roman" w:cs="Times New Roman"/>
          <w:sz w:val="24"/>
          <w:szCs w:val="24"/>
          <w:lang w:eastAsia="ja-JP"/>
        </w:rPr>
        <w:t>Ranjitkar</w:t>
      </w:r>
      <w:proofErr w:type="spellEnd"/>
      <w:r>
        <w:rPr>
          <w:rFonts w:ascii="Times New Roman" w:eastAsia="Yu Mincho" w:hAnsi="Times New Roman" w:cs="Times New Roman"/>
          <w:sz w:val="24"/>
          <w:szCs w:val="24"/>
          <w:lang w:eastAsia="ja-JP"/>
        </w:rPr>
        <w:t xml:space="preserve">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w:t>
      </w:r>
      <w:proofErr w:type="spellStart"/>
      <w:r w:rsidR="00E15D87">
        <w:rPr>
          <w:rFonts w:ascii="Times New Roman" w:eastAsia="Yu Mincho" w:hAnsi="Times New Roman" w:cs="Times New Roman"/>
          <w:sz w:val="24"/>
          <w:szCs w:val="24"/>
          <w:lang w:eastAsia="ja-JP"/>
        </w:rPr>
        <w:t>i</w:t>
      </w:r>
      <w:proofErr w:type="spellEnd"/>
      <w:r w:rsidR="00E15D87">
        <w:rPr>
          <w:rFonts w:ascii="Times New Roman" w:eastAsia="Yu Mincho" w:hAnsi="Times New Roman" w:cs="Times New Roman"/>
          <w:sz w:val="24"/>
          <w:szCs w:val="24"/>
          <w:lang w:eastAsia="ja-JP"/>
        </w:rPr>
        <w:t xml:space="preserve">)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436B38E0" w:rsidR="00491109" w:rsidRDefault="00491109" w:rsidP="00491109">
      <w:pPr>
        <w:spacing w:line="240" w:lineRule="auto"/>
        <w:jc w:val="center"/>
        <w:rPr>
          <w:rFonts w:ascii="Times New Roman" w:eastAsia="Yu Mincho" w:hAnsi="Times New Roman" w:cs="Times New Roman"/>
          <w:sz w:val="24"/>
          <w:szCs w:val="24"/>
          <w:lang w:eastAsia="ja-JP"/>
        </w:rPr>
      </w:pPr>
      <w:bookmarkStart w:id="2"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2"/>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e the 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In this sense, GTFS and APC data are perfect to measure the performance of transfer, since both data are based on the 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lastRenderedPageBreak/>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372DF8">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proofErr w:type="gramEnd"/>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lso important to determine the corresponding time loss caused by each bus. For example, a large TTP could be because 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3" w:name="_Ref19453691"/>
            <w:bookmarkStart w:id="4"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3"/>
            <w:r>
              <w:rPr>
                <w:rFonts w:ascii="Times New Roman" w:eastAsia="Yu Mincho" w:hAnsi="Times New Roman" w:cs="Times New Roman"/>
                <w:sz w:val="24"/>
                <w:szCs w:val="24"/>
                <w:lang w:eastAsia="ja-JP"/>
              </w:rPr>
              <w:t>)</w:t>
            </w:r>
            <w:bookmarkEnd w:id="4"/>
          </w:p>
        </w:tc>
      </w:tr>
    </w:tbl>
    <w:p w14:paraId="06A5D7DA" w14:textId="77777777" w:rsidR="005C247B" w:rsidRDefault="005C247B"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w:t>
      </w:r>
      <w:r w:rsidR="00491109">
        <w:rPr>
          <w:rFonts w:ascii="Times New Roman" w:hAnsi="Times New Roman" w:cs="Times New Roman"/>
          <w:sz w:val="24"/>
          <w:szCs w:val="24"/>
        </w:rPr>
        <w:t>here</w:t>
      </w:r>
      <w:proofErr w:type="gramEnd"/>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proofErr w:type="spellStart"/>
      <w:r>
        <w:rPr>
          <w:rFonts w:ascii="Times New Roman" w:eastAsia="Yu Mincho" w:hAnsi="Times New Roman" w:cs="Times New Roman"/>
          <w:sz w:val="24"/>
          <w:szCs w:val="24"/>
          <w:lang w:eastAsia="ja-JP"/>
        </w:rPr>
        <w:t>th</w:t>
      </w:r>
      <w:proofErr w:type="spellEnd"/>
      <w:r>
        <w:rPr>
          <w:rFonts w:ascii="Times New Roman" w:eastAsia="Yu Mincho" w:hAnsi="Times New Roman" w:cs="Times New Roman"/>
          <w:sz w:val="24"/>
          <w:szCs w:val="24"/>
          <w:lang w:eastAsia="ja-JP"/>
        </w:rPr>
        <w:t xml:space="preserve">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59F6A25C" w:rsidR="00491109" w:rsidRDefault="00491109" w:rsidP="00491109">
      <w:pPr>
        <w:spacing w:line="240" w:lineRule="auto"/>
        <w:jc w:val="center"/>
        <w:rPr>
          <w:rFonts w:ascii="Times New Roman" w:hAnsi="Times New Roman" w:cs="Times New Roman"/>
          <w:sz w:val="24"/>
          <w:szCs w:val="24"/>
        </w:rPr>
      </w:pPr>
      <w:bookmarkStart w:id="5"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5"/>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6"/>
      <w:commentRangeStart w:id="7"/>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6"/>
      <w:r w:rsidR="00CC63C1">
        <w:rPr>
          <w:rStyle w:val="CommentReference"/>
        </w:rPr>
        <w:commentReference w:id="6"/>
      </w:r>
      <w:commentRangeEnd w:id="7"/>
      <w:r w:rsidR="00542F21">
        <w:rPr>
          <w:rStyle w:val="CommentReference"/>
        </w:rPr>
        <w:commentReference w:id="7"/>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53F79CBB" w:rsidR="00491109" w:rsidRDefault="00491109" w:rsidP="00491109">
      <w:pPr>
        <w:spacing w:line="240" w:lineRule="auto"/>
        <w:jc w:val="center"/>
        <w:rPr>
          <w:rFonts w:ascii="Times New Roman" w:hAnsi="Times New Roman" w:cs="Times New Roman"/>
          <w:sz w:val="24"/>
          <w:szCs w:val="24"/>
        </w:rPr>
      </w:pPr>
      <w:bookmarkStart w:id="8" w:name="_Hlk529799747"/>
      <w:r>
        <w:rPr>
          <w:noProof/>
        </w:rPr>
        <w:drawing>
          <wp:inline distT="0" distB="0" distL="0" distR="0" wp14:anchorId="6019916B" wp14:editId="11430A87">
            <wp:extent cx="548640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62500"/>
                    </a:xfrm>
                    <a:prstGeom prst="rect">
                      <a:avLst/>
                    </a:prstGeom>
                    <a:noFill/>
                    <a:ln>
                      <a:noFill/>
                    </a:ln>
                  </pic:spPr>
                </pic:pic>
              </a:graphicData>
            </a:graphic>
          </wp:inline>
        </w:drawing>
      </w:r>
      <w:bookmarkEnd w:id="8"/>
    </w:p>
    <w:p w14:paraId="6A85EF05" w14:textId="5401C52C" w:rsidR="00491109" w:rsidRDefault="00491109" w:rsidP="00491109">
      <w:pPr>
        <w:spacing w:line="240" w:lineRule="auto"/>
        <w:jc w:val="center"/>
        <w:rPr>
          <w:rFonts w:ascii="Times New Roman" w:hAnsi="Times New Roman" w:cs="Times New Roman"/>
          <w:sz w:val="24"/>
          <w:szCs w:val="24"/>
        </w:rPr>
      </w:pPr>
      <w:bookmarkStart w:id="9"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2A3B4D">
        <w:rPr>
          <w:rFonts w:ascii="Times New Roman" w:hAnsi="Times New Roman" w:cs="Times New Roman"/>
          <w:noProof/>
          <w:sz w:val="24"/>
          <w:szCs w:val="24"/>
        </w:rPr>
        <w:t>3</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w:t>
      </w:r>
      <w:r>
        <w:rPr>
          <w:rFonts w:ascii="Times New Roman" w:hAnsi="Times New Roman" w:cs="Times New Roman"/>
          <w:sz w:val="24"/>
          <w:szCs w:val="24"/>
        </w:rPr>
        <w:lastRenderedPageBreak/>
        <w:t>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10"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10"/>
          </w:p>
        </w:tc>
      </w:tr>
    </w:tbl>
    <w:p w14:paraId="7555C745" w14:textId="312E641F" w:rsidR="00491109" w:rsidRDefault="00372DF8"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2DF02959"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6C9235A9" w14:textId="3A27A959" w:rsidR="00627943"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Accordingly, we acquired these data using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APC dataset’s coverage is not 100% and cannot sustain the whole 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p>
    <w:p w14:paraId="0018DC39" w14:textId="09F14317"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for analysis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w:t>
      </w:r>
      <w:r w:rsidR="00353D07">
        <w:rPr>
          <w:rFonts w:ascii="Times New Roman" w:eastAsia="Yu Mincho" w:hAnsi="Times New Roman" w:cs="Times New Roman"/>
          <w:sz w:val="24"/>
          <w:szCs w:val="24"/>
          <w:lang w:eastAsia="ja-JP"/>
        </w:rPr>
        <w:lastRenderedPageBreak/>
        <w:t>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 xml:space="preserve">of measures </w:t>
      </w:r>
      <w:r w:rsidR="00E728CC">
        <w:rPr>
          <w:rFonts w:ascii="Times New Roman" w:eastAsia="Yu Mincho" w:hAnsi="Times New Roman" w:cs="Times New Roman"/>
          <w:sz w:val="24"/>
          <w:szCs w:val="24"/>
          <w:lang w:eastAsia="ja-JP"/>
        </w:rPr>
        <w:t>separately.</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322D281" w14:textId="4F011144" w:rsidR="00A52740" w:rsidRDefault="00A52740"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analysis.</w:t>
      </w:r>
    </w:p>
    <w:p w14:paraId="3DE2FCE9" w14:textId="77777777" w:rsidR="002A437F" w:rsidRPr="00C53F98" w:rsidRDefault="00A52740" w:rsidP="00A52740">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From February 2018 to February 2019, the average transfer risk is 7.14%; average total time penalty for all transfers is 3.74 minutes with standard deviation of </w:t>
      </w:r>
      <w:r>
        <w:rPr>
          <w:rFonts w:ascii="Times New Roman" w:hAnsi="Times New Roman" w:cs="Times New Roman"/>
          <w:sz w:val="24"/>
          <w:szCs w:val="24"/>
        </w:rPr>
        <w:t>13 minutes</w:t>
      </w:r>
      <w:r>
        <w:rPr>
          <w:rFonts w:ascii="Times New Roman" w:eastAsia="Yu Mincho" w:hAnsi="Times New Roman" w:cs="Times New Roman"/>
          <w:sz w:val="24"/>
          <w:szCs w:val="24"/>
          <w:lang w:eastAsia="ja-JP"/>
        </w:rPr>
        <w:t xml:space="preserve">.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_Ref19284989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4</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_Ref19284994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5</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 the spatial pattern of the average transfer risk and average total time penalty from February 2018 to February 2019. It suggests some differences between TR and ATTP’s spatial distribution, especially on High Street (a major north-south thoroughfare in Columbus, indicated by a red circle in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_Ref19284989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4</w:t>
      </w:r>
      <w:r w:rsidR="005B5EC7">
        <w:rPr>
          <w:rFonts w:ascii="Times New Roman" w:eastAsia="Yu Mincho" w:hAnsi="Times New Roman" w:cs="Times New Roman"/>
          <w:sz w:val="24"/>
          <w:szCs w:val="24"/>
          <w:lang w:eastAsia="ja-JP"/>
        </w:rPr>
        <w:fldChar w:fldCharType="end"/>
      </w:r>
      <w:r w:rsidR="005B5EC7">
        <w:rPr>
          <w:rFonts w:ascii="Times New Roman" w:eastAsia="Yu Mincho" w:hAnsi="Times New Roman" w:cs="Times New Roman"/>
          <w:sz w:val="24"/>
          <w:szCs w:val="24"/>
          <w:lang w:eastAsia="ja-JP"/>
        </w:rPr>
        <w:t xml:space="preserve"> and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_Ref19284994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5</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downtown area (indicated by a blue circle in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_Ref19284989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4</w:t>
      </w:r>
      <w:r w:rsidR="005B5EC7">
        <w:rPr>
          <w:rFonts w:ascii="Times New Roman" w:eastAsia="Yu Mincho" w:hAnsi="Times New Roman" w:cs="Times New Roman"/>
          <w:sz w:val="24"/>
          <w:szCs w:val="24"/>
          <w:lang w:eastAsia="ja-JP"/>
        </w:rPr>
        <w:fldChar w:fldCharType="end"/>
      </w:r>
      <w:r w:rsidR="005B5EC7">
        <w:rPr>
          <w:rFonts w:ascii="Times New Roman" w:eastAsia="Yu Mincho" w:hAnsi="Times New Roman" w:cs="Times New Roman"/>
          <w:sz w:val="24"/>
          <w:szCs w:val="24"/>
          <w:lang w:eastAsia="ja-JP"/>
        </w:rPr>
        <w:t xml:space="preserve"> and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_Ref19284994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5</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0E1C0981" w:rsidR="00AA6E76" w:rsidRPr="009578C7" w:rsidRDefault="00796403" w:rsidP="00AA6E76">
      <w:pPr>
        <w:spacing w:line="240" w:lineRule="auto"/>
        <w:jc w:val="center"/>
        <w:rPr>
          <w:rFonts w:ascii="Times New Roman" w:hAnsi="Times New Roman" w:cs="Times New Roman"/>
          <w:sz w:val="24"/>
          <w:szCs w:val="24"/>
        </w:rPr>
      </w:pPr>
      <w:r>
        <w:rPr>
          <w:rFonts w:ascii="Times New Roman" w:eastAsia="Yu Mincho" w:hAnsi="Times New Roman" w:cs="Times New Roman"/>
          <w:noProof/>
          <w:sz w:val="24"/>
          <w:szCs w:val="24"/>
        </w:rPr>
        <w:pict w14:anchorId="18B32C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61.75pt">
            <v:imagedata r:id="rId13" o:title="tr@1x"/>
          </v:shape>
        </w:pict>
      </w:r>
    </w:p>
    <w:p w14:paraId="78CBB69E" w14:textId="166C0F2A" w:rsidR="00AA6E76" w:rsidRDefault="00AA6E76" w:rsidP="00AA6E76">
      <w:pPr>
        <w:spacing w:line="240" w:lineRule="auto"/>
        <w:jc w:val="center"/>
        <w:rPr>
          <w:rFonts w:ascii="Times New Roman" w:hAnsi="Times New Roman" w:cs="Times New Roman"/>
          <w:sz w:val="24"/>
          <w:szCs w:val="24"/>
        </w:rPr>
      </w:pPr>
      <w:bookmarkStart w:id="11"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bookmarkEnd w:id="11"/>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C1433B1" w:rsidR="00AA6E76" w:rsidRDefault="00796403" w:rsidP="00AA6E76">
      <w:pPr>
        <w:spacing w:line="240" w:lineRule="auto"/>
        <w:jc w:val="center"/>
        <w:rPr>
          <w:rFonts w:ascii="Times New Roman" w:eastAsia="Yu Mincho" w:hAnsi="Times New Roman" w:cs="Times New Roman"/>
          <w:sz w:val="24"/>
          <w:szCs w:val="24"/>
          <w:lang w:eastAsia="ja-JP"/>
        </w:rPr>
      </w:pPr>
      <w:r>
        <w:rPr>
          <w:rFonts w:ascii="Times New Roman" w:hAnsi="Times New Roman" w:cs="Times New Roman"/>
          <w:noProof/>
          <w:sz w:val="24"/>
          <w:szCs w:val="24"/>
        </w:rPr>
        <w:lastRenderedPageBreak/>
        <w:pict w14:anchorId="7C605050">
          <v:shape id="_x0000_i1026" type="#_x0000_t75" style="width:6in;height:161.75pt">
            <v:imagedata r:id="rId14" o:title="attp@1x"/>
          </v:shape>
        </w:pict>
      </w:r>
    </w:p>
    <w:p w14:paraId="6F7A8FDE" w14:textId="6F0B316A" w:rsidR="00AA6E76" w:rsidRDefault="00AA6E76" w:rsidP="00AA6E76">
      <w:pPr>
        <w:spacing w:line="240" w:lineRule="auto"/>
        <w:jc w:val="center"/>
        <w:rPr>
          <w:rFonts w:ascii="Times New Roman" w:eastAsia="Yu Mincho" w:hAnsi="Times New Roman" w:cs="Times New Roman"/>
          <w:sz w:val="24"/>
          <w:szCs w:val="24"/>
          <w:lang w:eastAsia="ja-JP"/>
        </w:rPr>
      </w:pPr>
      <w:bookmarkStart w:id="12"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2"/>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40390662" w:rsidR="00A52740" w:rsidRDefault="00A52740"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1EDDB5D5" w14:textId="441B57E6" w:rsidR="00A52740" w:rsidRDefault="00A52740" w:rsidP="00A5274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Besides regular temporal patterns, we chose </w:t>
      </w:r>
      <w:r w:rsidR="002F7194">
        <w:rPr>
          <w:rFonts w:ascii="Times New Roman" w:eastAsia="Yu Mincho" w:hAnsi="Times New Roman" w:cs="Times New Roman"/>
          <w:sz w:val="24"/>
          <w:szCs w:val="24"/>
          <w:lang w:eastAsia="ja-JP"/>
        </w:rPr>
        <w:t>certain</w:t>
      </w:r>
      <w:r>
        <w:rPr>
          <w:rFonts w:ascii="Times New Roman" w:eastAsia="Yu Mincho" w:hAnsi="Times New Roman" w:cs="Times New Roman"/>
          <w:sz w:val="24"/>
          <w:szCs w:val="24"/>
          <w:lang w:eastAsia="ja-JP"/>
        </w:rPr>
        <w:t xml:space="preserve"> days with special events to see their impact on the transfer real-time performance. Weather, especially extreme weather during winter, is a major factor for PT delays. Special events (such as football games near the Ohio State University in Columbus) can also impact local traffic and public transit. We can select several representative days to measure the TR and ATTP differences due to these events.</w:t>
      </w:r>
    </w:p>
    <w:p w14:paraId="4578B45E" w14:textId="19A60867"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w:t>
      </w:r>
      <w:bookmarkStart w:id="13" w:name="_GoBack"/>
      <w:bookmarkEnd w:id="13"/>
      <w:r w:rsidR="00491109">
        <w:rPr>
          <w:rFonts w:ascii="Times New Roman" w:eastAsia="Yu Mincho" w:hAnsi="Times New Roman" w:cs="Times New Roman"/>
          <w:sz w:val="24"/>
          <w:szCs w:val="24"/>
          <w:lang w:eastAsia="ja-JP"/>
        </w:rPr>
        <w:t xml:space="preserve">nd ATTP. June, July, and December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p>
    <w:p w14:paraId="42AC4DFE" w14:textId="15D0AE6C" w:rsidR="00491109" w:rsidRDefault="00180A03" w:rsidP="00491109">
      <w:pPr>
        <w:keepNext/>
        <w:spacing w:line="240" w:lineRule="auto"/>
        <w:jc w:val="center"/>
      </w:pPr>
      <w:r>
        <w:rPr>
          <w:noProof/>
        </w:rPr>
        <w:lastRenderedPageBreak/>
        <w:drawing>
          <wp:inline distT="0" distB="0" distL="0" distR="0" wp14:anchorId="01C01977" wp14:editId="7EC36CDA">
            <wp:extent cx="5486400" cy="2647665"/>
            <wp:effectExtent l="0" t="0" r="0" b="6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738ECED" w14:textId="78626723" w:rsidR="00491109" w:rsidRDefault="00491109" w:rsidP="00491109">
      <w:pPr>
        <w:spacing w:line="240" w:lineRule="auto"/>
        <w:jc w:val="center"/>
        <w:rPr>
          <w:rFonts w:ascii="Times New Roman" w:eastAsia="Yu Mincho" w:hAnsi="Times New Roman" w:cs="Times New Roman"/>
          <w:sz w:val="24"/>
          <w:szCs w:val="24"/>
          <w:lang w:eastAsia="ja-JP"/>
        </w:rPr>
      </w:pPr>
      <w:bookmarkStart w:id="14"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Overall monthly TR and ATTP trend chart in 2018.</w:t>
      </w:r>
    </w:p>
    <w:p w14:paraId="0DE63045" w14:textId="4FEAF4E7"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 We can see the overall transfer risk and ATTP peak on Friday, and the core of weekdays (Wednesday, Thursday, </w:t>
      </w:r>
      <w:proofErr w:type="gramStart"/>
      <w:r w:rsidR="00491109">
        <w:rPr>
          <w:rFonts w:ascii="Times New Roman" w:eastAsia="Yu Mincho" w:hAnsi="Times New Roman" w:cs="Times New Roman"/>
          <w:sz w:val="24"/>
          <w:szCs w:val="24"/>
          <w:lang w:eastAsia="ja-JP"/>
        </w:rPr>
        <w:t>Friday</w:t>
      </w:r>
      <w:proofErr w:type="gramEnd"/>
      <w:r w:rsidR="00491109">
        <w:rPr>
          <w:rFonts w:ascii="Times New Roman" w:eastAsia="Yu Mincho" w:hAnsi="Times New Roman" w:cs="Times New Roman"/>
          <w:sz w:val="24"/>
          <w:szCs w:val="24"/>
          <w:lang w:eastAsia="ja-JP"/>
        </w:rPr>
        <w:t>) maintains higher levels of risk and penalties due to the overall traffic pattern. Weekends and Monday’s ATTP and TR are relatively low due to flexible working schedule and less commuting activities.</w:t>
      </w:r>
    </w:p>
    <w:p w14:paraId="52D67752" w14:textId="3C832E48" w:rsidR="00491109" w:rsidRDefault="00A27817" w:rsidP="00491109">
      <w:pPr>
        <w:keepNext/>
        <w:spacing w:line="240" w:lineRule="auto"/>
        <w:jc w:val="center"/>
      </w:pPr>
      <w:r>
        <w:rPr>
          <w:noProof/>
        </w:rPr>
        <w:drawing>
          <wp:inline distT="0" distB="0" distL="0" distR="0" wp14:anchorId="0F9365FD" wp14:editId="5A5F9E39">
            <wp:extent cx="5486400" cy="2558955"/>
            <wp:effectExtent l="0" t="0" r="0" b="133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8AC5DBC" w14:textId="3C1F24AD" w:rsidR="00491109" w:rsidRDefault="00491109" w:rsidP="00491109">
      <w:pPr>
        <w:spacing w:line="240" w:lineRule="auto"/>
        <w:jc w:val="center"/>
        <w:rPr>
          <w:rFonts w:ascii="Times New Roman" w:eastAsia="Yu Mincho" w:hAnsi="Times New Roman" w:cs="Times New Roman"/>
          <w:sz w:val="24"/>
          <w:szCs w:val="24"/>
          <w:lang w:eastAsia="ja-JP"/>
        </w:rPr>
      </w:pPr>
      <w:bookmarkStart w:id="15"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Overall Weekday TR and ATTP Trend Chart in 2018.</w:t>
      </w:r>
    </w:p>
    <w:p w14:paraId="579499B6" w14:textId="788A5356"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while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 High risk and penalties during the morning and afternoon periods can be explained by overall traffic pattern during these busy hours. However, nighttime with lower traffic also witnesses high transfer risk and high total time penalty. While the risk of missing a transfer does not increase dramatically at night, the </w:t>
      </w:r>
      <w:r w:rsidR="00491109">
        <w:rPr>
          <w:rFonts w:ascii="Times New Roman" w:eastAsia="Yu Mincho" w:hAnsi="Times New Roman" w:cs="Times New Roman"/>
          <w:sz w:val="24"/>
          <w:szCs w:val="24"/>
          <w:lang w:eastAsia="ja-JP"/>
        </w:rPr>
        <w:lastRenderedPageBreak/>
        <w:t xml:space="preserve">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7AD9BF98" w14:textId="4937DCAA" w:rsidR="00491109" w:rsidRDefault="000A3416" w:rsidP="00491109">
      <w:pPr>
        <w:keepNext/>
        <w:spacing w:line="240" w:lineRule="auto"/>
        <w:jc w:val="center"/>
      </w:pPr>
      <w:r>
        <w:rPr>
          <w:noProof/>
        </w:rPr>
        <w:drawing>
          <wp:inline distT="0" distB="0" distL="0" distR="0" wp14:anchorId="7F194297" wp14:editId="10420D2A">
            <wp:extent cx="5486400" cy="2995684"/>
            <wp:effectExtent l="0" t="0" r="0" b="146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E981A51" w14:textId="3441E8AB" w:rsidR="00491109" w:rsidRDefault="00491109" w:rsidP="00491109">
      <w:pPr>
        <w:spacing w:line="240" w:lineRule="auto"/>
        <w:jc w:val="center"/>
        <w:rPr>
          <w:rFonts w:ascii="Times New Roman" w:eastAsia="Yu Mincho" w:hAnsi="Times New Roman" w:cs="Times New Roman"/>
          <w:sz w:val="24"/>
          <w:szCs w:val="24"/>
          <w:lang w:eastAsia="ja-JP"/>
        </w:rPr>
      </w:pPr>
      <w:bookmarkStart w:id="16"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Overall Hourly TR and ATTP Trend Chart.</w:t>
      </w:r>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555FBDA4" w:rsidR="00491109" w:rsidRDefault="00491109"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9F6B2F6" wp14:editId="2CB5CBFF">
            <wp:extent cx="4781550" cy="538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5381625"/>
                    </a:xfrm>
                    <a:prstGeom prst="rect">
                      <a:avLst/>
                    </a:prstGeom>
                    <a:noFill/>
                    <a:ln>
                      <a:noFill/>
                    </a:ln>
                  </pic:spPr>
                </pic:pic>
              </a:graphicData>
            </a:graphic>
          </wp:inline>
        </w:drawing>
      </w:r>
    </w:p>
    <w:p w14:paraId="42371444" w14:textId="2A5EA54C" w:rsidR="00491109" w:rsidRDefault="00491109" w:rsidP="00491109">
      <w:pPr>
        <w:spacing w:line="240" w:lineRule="auto"/>
        <w:jc w:val="center"/>
        <w:rPr>
          <w:rFonts w:ascii="Times New Roman" w:hAnsi="Times New Roman" w:cs="Times New Roman"/>
          <w:sz w:val="24"/>
          <w:szCs w:val="24"/>
        </w:rPr>
      </w:pPr>
      <w:bookmarkStart w:id="17"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7"/>
      <w:r>
        <w:rPr>
          <w:rFonts w:ascii="Times New Roman" w:eastAsia="Yu Mincho" w:hAnsi="Times New Roman" w:cs="Times New Roman"/>
          <w:sz w:val="24"/>
          <w:szCs w:val="24"/>
          <w:lang w:eastAsia="ja-JP"/>
        </w:rPr>
        <w:t xml:space="preserve"> Average Total Time Penalty (ATTP) Hourly Temporal Pattern during three major high time periods.</w:t>
      </w:r>
    </w:p>
    <w:p w14:paraId="56114447"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b/>
        <w:t>To examine the impacts of weather and special event days on transfer risk and penalties, we analyzed all days with more than 1.78 centimeters precipitation per day and all days with football games. During days with heavy precipitation, average transfer risk increases to 7.47% and average total time penalty increases to 3.92 minutes. During the football game days, average transfer risk increases to 8.66% and average total time penalty increases to 4.36 minutes. Extreme weather and major events have significant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lastRenderedPageBreak/>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3CA1BB84"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(i.e., no delay). We analyzed TR and ATTP’s changing trend before and after applying the assumption and the difference’s spatial and temporal pattern.</w:t>
      </w:r>
    </w:p>
    <w:p w14:paraId="6F752DE2" w14:textId="5749233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there is a high improvement cluster for part of the route indicated by the red circle in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Other route segments show relatively random pattern of transfer risk changes. However, for ATTP, all stops’ performance universally improves but the impact on the downtown is less compared to other outlying stops, especially the cluster with more transfer risk improvement (red circle). Across all stops on the route, the DBL save</w:t>
      </w:r>
      <w:r w:rsidR="002D650B">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on average 1.95 minutes with a standard deviation of 14.58 minutes. Therefore, although the average time savings is modest, the impacts are highly differentiated across stops.</w:t>
      </w:r>
    </w:p>
    <w:p w14:paraId="069A708A" w14:textId="53D014B8" w:rsidR="00491109" w:rsidRDefault="00491109" w:rsidP="00491109">
      <w:pPr>
        <w:keepNext/>
        <w:spacing w:line="240" w:lineRule="auto"/>
        <w:jc w:val="center"/>
      </w:pPr>
      <w:r>
        <w:rPr>
          <w:noProof/>
        </w:rPr>
        <w:lastRenderedPageBreak/>
        <w:drawing>
          <wp:inline distT="0" distB="0" distL="0" distR="0" wp14:anchorId="583C35BF" wp14:editId="66A7F0DC">
            <wp:extent cx="5486400" cy="5029200"/>
            <wp:effectExtent l="0" t="0" r="0" b="0"/>
            <wp:docPr id="15" name="Picture 15" descr="pictur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_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14:paraId="6DDC19B3" w14:textId="2A4DCA53" w:rsidR="00491109" w:rsidRDefault="00491109" w:rsidP="00491109">
      <w:pPr>
        <w:spacing w:line="240" w:lineRule="auto"/>
        <w:jc w:val="center"/>
        <w:rPr>
          <w:rFonts w:ascii="Times New Roman" w:eastAsia="Yu Mincho" w:hAnsi="Times New Roman" w:cs="Times New Roman"/>
          <w:sz w:val="24"/>
          <w:szCs w:val="24"/>
          <w:lang w:eastAsia="ja-JP"/>
        </w:rPr>
      </w:pPr>
      <w:bookmarkStart w:id="18"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Simulated differences in TR and ATTP after implementation of a dedicated bus lane </w:t>
      </w:r>
    </w:p>
    <w:p w14:paraId="51CFB7B8" w14:textId="02458BD1"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3</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and DBL-receiving transfers. By comparing the two measures, we investigated how DBL helps save time for the PT users.</w:t>
      </w:r>
    </w:p>
    <w:p w14:paraId="3C206F59" w14:textId="5797C8A0"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476AA97C"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the ATTP’s spatial and temporal pattern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decrease, both for DBL-generating and DBL-receiving transfers. This also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5</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Also, since DBL-generating transfers benefit from both less desynchronization and less delay, they save more time than the average; since desynchronization increases for DBL-receiving transfers, they still save time but less than the average.</w:t>
      </w:r>
    </w:p>
    <w:p w14:paraId="2FD2D16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5B738B3" w14:textId="1FA9D94E" w:rsidR="00491109" w:rsidRDefault="00491109" w:rsidP="00491109">
      <w:pPr>
        <w:keepNext/>
        <w:spacing w:line="240" w:lineRule="auto"/>
        <w:jc w:val="center"/>
      </w:pPr>
      <w:r>
        <w:rPr>
          <w:noProof/>
        </w:rPr>
        <w:drawing>
          <wp:inline distT="0" distB="0" distL="0" distR="0" wp14:anchorId="18E6CAF0" wp14:editId="4A7FB0AE">
            <wp:extent cx="5486400" cy="2272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72665"/>
                    </a:xfrm>
                    <a:prstGeom prst="rect">
                      <a:avLst/>
                    </a:prstGeom>
                    <a:noFill/>
                    <a:ln>
                      <a:noFill/>
                    </a:ln>
                  </pic:spPr>
                </pic:pic>
              </a:graphicData>
            </a:graphic>
          </wp:inline>
        </w:drawing>
      </w:r>
    </w:p>
    <w:p w14:paraId="2107094A" w14:textId="540FACB9" w:rsidR="00491109" w:rsidRPr="00B257BE" w:rsidRDefault="00491109" w:rsidP="00491109">
      <w:pPr>
        <w:spacing w:line="240" w:lineRule="auto"/>
        <w:jc w:val="center"/>
        <w:rPr>
          <w:rFonts w:ascii="Times New Roman" w:hAnsi="Times New Roman" w:cs="Times New Roman"/>
          <w:sz w:val="24"/>
          <w:szCs w:val="24"/>
        </w:rPr>
      </w:pPr>
      <w:bookmarkStart w:id="19"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19"/>
      <w:r>
        <w:rPr>
          <w:rFonts w:ascii="Times New Roman" w:eastAsia="Yu Mincho" w:hAnsi="Times New Roman" w:cs="Times New Roman"/>
          <w:sz w:val="24"/>
          <w:szCs w:val="24"/>
          <w:lang w:eastAsia="ja-JP"/>
        </w:rPr>
        <w:t xml:space="preserve"> Temporal pattern of simulated changes in TR after implementing a dedicated bus lane (gaps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25038BF4" w:rsidR="00491109" w:rsidRDefault="00491109" w:rsidP="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rPr>
        <w:lastRenderedPageBreak/>
        <w:drawing>
          <wp:inline distT="0" distB="0" distL="0" distR="0" wp14:anchorId="690417E6" wp14:editId="1C456C3B">
            <wp:extent cx="5486400" cy="2232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86400" cy="2232271"/>
                    </a:xfrm>
                    <a:prstGeom prst="rect">
                      <a:avLst/>
                    </a:prstGeom>
                    <a:noFill/>
                    <a:ln>
                      <a:noFill/>
                    </a:ln>
                  </pic:spPr>
                </pic:pic>
              </a:graphicData>
            </a:graphic>
          </wp:inline>
        </w:drawing>
      </w:r>
    </w:p>
    <w:p w14:paraId="4BD63CB6" w14:textId="29CBCD6F" w:rsidR="00491109" w:rsidRDefault="00491109" w:rsidP="00491109">
      <w:pPr>
        <w:spacing w:line="240" w:lineRule="auto"/>
        <w:jc w:val="center"/>
        <w:rPr>
          <w:rFonts w:ascii="Times New Roman" w:eastAsia="Yu Mincho" w:hAnsi="Times New Roman" w:cs="Times New Roman"/>
          <w:sz w:val="24"/>
          <w:szCs w:val="24"/>
          <w:lang w:eastAsia="ja-JP"/>
        </w:rPr>
      </w:pPr>
      <w:bookmarkStart w:id="20"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13</w:t>
      </w:r>
      <w:r>
        <w:rPr>
          <w:rFonts w:ascii="Times New Roman" w:eastAsia="Yu Mincho" w:hAnsi="Times New Roman" w:cs="Times New Roman"/>
          <w:sz w:val="24"/>
          <w:szCs w:val="24"/>
          <w:lang w:eastAsia="ja-JP"/>
        </w:rPr>
        <w:fldChar w:fldCharType="end"/>
      </w:r>
      <w:bookmarkEnd w:id="20"/>
      <w:r>
        <w:rPr>
          <w:rFonts w:ascii="Times New Roman" w:eastAsia="Yu Mincho" w:hAnsi="Times New Roman" w:cs="Times New Roman"/>
          <w:sz w:val="24"/>
          <w:szCs w:val="24"/>
          <w:lang w:eastAsia="ja-JP"/>
        </w:rPr>
        <w:t xml:space="preserve"> Temporal pattern of simulated changes in ATTP after implementing a dedicated bus lane (gaps correspond to missing data)</w:t>
      </w:r>
    </w:p>
    <w:p w14:paraId="6F658D4F" w14:textId="7D0E4B54"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11</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12</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Although DBL only improves certain transfers’ TR performance, it will universally reduce transit system users’ total transfer time by systematically lessening the receiving buses’ delay. Accordingly,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also shows that even if just one route, instead of the whole system, delay control can be efficient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6283BDEF"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1" w:name="_Hlk527674454"/>
      <w:r>
        <w:rPr>
          <w:rFonts w:ascii="Times New Roman" w:eastAsia="Yu Mincho" w:hAnsi="Times New Roman" w:cs="Times New Roman"/>
          <w:sz w:val="24"/>
          <w:szCs w:val="24"/>
          <w:lang w:eastAsia="ja-JP"/>
        </w:rPr>
        <w:t>Based on high-resolution GTFS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 using GTFS static and real-time data from February 2018 to February 2019 in Columbus, Ohio. The spatial and temporal analysis show similar pattern like overall traffic and PT system delay. Moreover,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4CA9D172"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21"/>
      <w:r>
        <w:rPr>
          <w:rFonts w:ascii="Times New Roman" w:eastAsia="Yu Mincho" w:hAnsi="Times New Roman" w:cs="Times New Roman"/>
          <w:sz w:val="24"/>
          <w:szCs w:val="24"/>
          <w:lang w:eastAsia="ja-JP"/>
        </w:rPr>
        <w:t xml:space="preserve">ure direction of the transfer studies can also concentrate on the application of both smart and human sensors, generating abundant and high-resolution big data for analysis, administration and prediction. Automatic data from sensors includes GPS stream </w:t>
      </w:r>
      <w:r>
        <w:rPr>
          <w:rFonts w:ascii="Times New Roman" w:eastAsia="Yu Mincho" w:hAnsi="Times New Roman" w:cs="Times New Roman"/>
          <w:sz w:val="24"/>
          <w:szCs w:val="24"/>
          <w:lang w:eastAsia="ja-JP"/>
        </w:rPr>
        <w:lastRenderedPageBreak/>
        <w:t xml:space="preserve">data from the buses, the smart card data, bus on- and off-boarding information, and the video cameras’ visual recognition. 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215FE45E"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555907E9"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w:t>
      </w:r>
      <w:r w:rsidRPr="009A3634">
        <w:rPr>
          <w:rFonts w:ascii="Times New Roman" w:hAnsi="Times New Roman" w:cs="Times New Roman"/>
          <w:noProof/>
          <w:sz w:val="24"/>
          <w:szCs w:val="24"/>
        </w:rPr>
        <w:lastRenderedPageBreak/>
        <w:t xml:space="preserve">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w:t>
      </w:r>
      <w:r w:rsidRPr="009A3634">
        <w:rPr>
          <w:rFonts w:ascii="Times New Roman" w:hAnsi="Times New Roman" w:cs="Times New Roman"/>
          <w:noProof/>
          <w:sz w:val="24"/>
          <w:szCs w:val="24"/>
        </w:rPr>
        <w:lastRenderedPageBreak/>
        <w:t xml:space="preserve">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(4), 314–319. 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19-09-16T17:09:00Z" w:initials="LL">
    <w:p w14:paraId="5786864B" w14:textId="77777777" w:rsidR="00810943" w:rsidRDefault="00810943"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810943" w:rsidRDefault="00810943" w:rsidP="001A19D6">
      <w:pPr>
        <w:pStyle w:val="CommentText"/>
      </w:pPr>
    </w:p>
    <w:p w14:paraId="653D4748" w14:textId="77777777" w:rsidR="00810943" w:rsidRDefault="00810943"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810943" w:rsidRDefault="00810943" w:rsidP="001A19D6">
      <w:pPr>
        <w:pStyle w:val="CommentText"/>
      </w:pPr>
    </w:p>
    <w:p w14:paraId="005376B5" w14:textId="595E0AE8" w:rsidR="00810943" w:rsidRDefault="00810943"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proofErr w:type="gramStart"/>
      <w:r>
        <w:t>”.</w:t>
      </w:r>
      <w:proofErr w:type="gramEnd"/>
      <w:r>
        <w:t xml:space="preserve"> The commented sentence is “</w:t>
      </w:r>
      <w:proofErr w:type="spellStart"/>
      <w:r w:rsidRPr="001A19D6">
        <w:rPr>
          <w:u w:val="single"/>
        </w:rPr>
        <w:t>Brakewood</w:t>
      </w:r>
      <w:proofErr w:type="spellEnd"/>
      <w:r w:rsidRPr="001A19D6">
        <w:rPr>
          <w:u w:val="single"/>
        </w:rPr>
        <w:t xml:space="preserve">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810943" w:rsidRDefault="00810943" w:rsidP="001A19D6">
      <w:pPr>
        <w:pStyle w:val="CommentText"/>
      </w:pPr>
    </w:p>
    <w:p w14:paraId="79699326" w14:textId="4B1B4E0A" w:rsidR="00810943" w:rsidRDefault="00810943" w:rsidP="001A19D6">
      <w:pPr>
        <w:pStyle w:val="CommentText"/>
      </w:pPr>
      <w:r>
        <w:t>Are “find/found”, “investigate/investigated”, and other “action” verb also included in this genre?</w:t>
      </w:r>
    </w:p>
    <w:p w14:paraId="28EBBC45" w14:textId="76A268BF" w:rsidR="00810943" w:rsidRDefault="00810943">
      <w:pPr>
        <w:pStyle w:val="CommentText"/>
      </w:pPr>
    </w:p>
    <w:p w14:paraId="4F9964BE" w14:textId="718DBD1B" w:rsidR="00810943" w:rsidRDefault="00810943">
      <w:pPr>
        <w:pStyle w:val="CommentText"/>
      </w:pPr>
      <w:r>
        <w:t xml:space="preserve">One of my source: </w:t>
      </w:r>
      <w:hyperlink r:id="rId1" w:history="1">
        <w:r>
          <w:rPr>
            <w:rStyle w:val="Hyperlink"/>
          </w:rPr>
          <w:t>https://www.theclassroom.com/apa-style-recommend-using-present-tense-2072.html</w:t>
        </w:r>
      </w:hyperlink>
    </w:p>
    <w:p w14:paraId="659CAF17" w14:textId="46F5EFFA" w:rsidR="00810943" w:rsidRDefault="00810943">
      <w:pPr>
        <w:pStyle w:val="CommentText"/>
      </w:pPr>
    </w:p>
    <w:p w14:paraId="640435DD" w14:textId="77777777" w:rsidR="00810943" w:rsidRDefault="00810943">
      <w:pPr>
        <w:pStyle w:val="CommentText"/>
      </w:pPr>
    </w:p>
  </w:comment>
  <w:comment w:id="1" w:author="Liu, Luyu" w:date="2019-09-16T17:48:00Z" w:initials="LL">
    <w:p w14:paraId="10935CA5" w14:textId="3E5334EE" w:rsidR="00810943" w:rsidRDefault="00810943">
      <w:pPr>
        <w:pStyle w:val="CommentText"/>
      </w:pPr>
      <w:r>
        <w:rPr>
          <w:rStyle w:val="CommentReference"/>
        </w:rPr>
        <w:annotationRef/>
      </w:r>
      <w:r>
        <w:t>Again, you can see I am being inconsistent with myself. I changed the present to past tense.</w:t>
      </w:r>
    </w:p>
  </w:comment>
  <w:comment w:id="6" w:author="Luyu Liu" w:date="2019-09-14T15:13:00Z" w:initials="LL">
    <w:p w14:paraId="38D43401" w14:textId="0FD9D31A" w:rsidR="00810943" w:rsidRDefault="00810943">
      <w:pPr>
        <w:pStyle w:val="CommentText"/>
      </w:pPr>
      <w:r>
        <w:rPr>
          <w:rStyle w:val="CommentReference"/>
        </w:rPr>
        <w:annotationRef/>
      </w:r>
      <w:r>
        <w:t>This one is extra good. I think I will keep it.</w:t>
      </w:r>
    </w:p>
  </w:comment>
  <w:comment w:id="7" w:author="Luyu Liu" w:date="2019-09-14T15:17:00Z" w:initials="LL">
    <w:p w14:paraId="7A2479EF" w14:textId="3006875C" w:rsidR="00810943" w:rsidRDefault="00810943">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49161A" w14:textId="77777777" w:rsidR="00372DF8" w:rsidRDefault="00372DF8" w:rsidP="00491109">
      <w:pPr>
        <w:spacing w:after="0" w:line="240" w:lineRule="auto"/>
      </w:pPr>
      <w:r>
        <w:separator/>
      </w:r>
    </w:p>
  </w:endnote>
  <w:endnote w:type="continuationSeparator" w:id="0">
    <w:p w14:paraId="7C770E04" w14:textId="77777777" w:rsidR="00372DF8" w:rsidRDefault="00372DF8"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74050F" w14:textId="77777777" w:rsidR="00372DF8" w:rsidRDefault="00372DF8" w:rsidP="00491109">
      <w:pPr>
        <w:spacing w:after="0" w:line="240" w:lineRule="auto"/>
      </w:pPr>
      <w:r>
        <w:separator/>
      </w:r>
    </w:p>
  </w:footnote>
  <w:footnote w:type="continuationSeparator" w:id="0">
    <w:p w14:paraId="2BB15A77" w14:textId="77777777" w:rsidR="00372DF8" w:rsidRDefault="00372DF8" w:rsidP="00491109">
      <w:pPr>
        <w:spacing w:after="0" w:line="240" w:lineRule="auto"/>
      </w:pPr>
      <w:r>
        <w:continuationSeparator/>
      </w:r>
    </w:p>
  </w:footnote>
  <w:footnote w:id="1">
    <w:p w14:paraId="221015B9" w14:textId="77777777" w:rsidR="00810943" w:rsidRDefault="00810943" w:rsidP="00491109">
      <w:pPr>
        <w:pStyle w:val="Footer"/>
        <w:rPr>
          <w:sz w:val="18"/>
        </w:rPr>
      </w:pPr>
      <w:r>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810943" w:rsidRDefault="00810943"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D0A"/>
    <w:rsid w:val="0001285C"/>
    <w:rsid w:val="00012CCF"/>
    <w:rsid w:val="000160C9"/>
    <w:rsid w:val="00020E6E"/>
    <w:rsid w:val="00020EE8"/>
    <w:rsid w:val="00025604"/>
    <w:rsid w:val="00027383"/>
    <w:rsid w:val="000314CB"/>
    <w:rsid w:val="000432D6"/>
    <w:rsid w:val="00044528"/>
    <w:rsid w:val="00051663"/>
    <w:rsid w:val="00054CF9"/>
    <w:rsid w:val="0005679C"/>
    <w:rsid w:val="00060006"/>
    <w:rsid w:val="00060139"/>
    <w:rsid w:val="00083253"/>
    <w:rsid w:val="00090499"/>
    <w:rsid w:val="0009498F"/>
    <w:rsid w:val="000A3416"/>
    <w:rsid w:val="000B5297"/>
    <w:rsid w:val="000D1429"/>
    <w:rsid w:val="000E31F0"/>
    <w:rsid w:val="000F2F58"/>
    <w:rsid w:val="00106441"/>
    <w:rsid w:val="00110835"/>
    <w:rsid w:val="0014344D"/>
    <w:rsid w:val="001460DE"/>
    <w:rsid w:val="00147139"/>
    <w:rsid w:val="00147B9C"/>
    <w:rsid w:val="0016016F"/>
    <w:rsid w:val="00162E19"/>
    <w:rsid w:val="00165261"/>
    <w:rsid w:val="00171F17"/>
    <w:rsid w:val="00177107"/>
    <w:rsid w:val="00180A03"/>
    <w:rsid w:val="00191015"/>
    <w:rsid w:val="0019318E"/>
    <w:rsid w:val="001A19D6"/>
    <w:rsid w:val="001B7FD9"/>
    <w:rsid w:val="001C3C4B"/>
    <w:rsid w:val="001C3E5F"/>
    <w:rsid w:val="001C5D7C"/>
    <w:rsid w:val="001C7402"/>
    <w:rsid w:val="001D50EA"/>
    <w:rsid w:val="001E2934"/>
    <w:rsid w:val="001F369C"/>
    <w:rsid w:val="00201149"/>
    <w:rsid w:val="00210A6D"/>
    <w:rsid w:val="00213852"/>
    <w:rsid w:val="002206A3"/>
    <w:rsid w:val="002227E9"/>
    <w:rsid w:val="00226FEF"/>
    <w:rsid w:val="00227FAE"/>
    <w:rsid w:val="00231898"/>
    <w:rsid w:val="00243B34"/>
    <w:rsid w:val="00244F2B"/>
    <w:rsid w:val="00247565"/>
    <w:rsid w:val="00255D0B"/>
    <w:rsid w:val="002637A9"/>
    <w:rsid w:val="00271F0F"/>
    <w:rsid w:val="0027552E"/>
    <w:rsid w:val="00285491"/>
    <w:rsid w:val="002862FA"/>
    <w:rsid w:val="00291A50"/>
    <w:rsid w:val="002A02F6"/>
    <w:rsid w:val="002A2652"/>
    <w:rsid w:val="002A288D"/>
    <w:rsid w:val="002A3B4D"/>
    <w:rsid w:val="002A3C21"/>
    <w:rsid w:val="002A437F"/>
    <w:rsid w:val="002B2F62"/>
    <w:rsid w:val="002B6676"/>
    <w:rsid w:val="002C6465"/>
    <w:rsid w:val="002D0271"/>
    <w:rsid w:val="002D3620"/>
    <w:rsid w:val="002D650B"/>
    <w:rsid w:val="002E2EEE"/>
    <w:rsid w:val="002F0890"/>
    <w:rsid w:val="002F2237"/>
    <w:rsid w:val="002F5E04"/>
    <w:rsid w:val="002F6FC7"/>
    <w:rsid w:val="002F7194"/>
    <w:rsid w:val="00306A7A"/>
    <w:rsid w:val="00320E90"/>
    <w:rsid w:val="00326289"/>
    <w:rsid w:val="003477BB"/>
    <w:rsid w:val="00352D33"/>
    <w:rsid w:val="00353D07"/>
    <w:rsid w:val="00357E31"/>
    <w:rsid w:val="0036174A"/>
    <w:rsid w:val="00361813"/>
    <w:rsid w:val="00372DF8"/>
    <w:rsid w:val="0037699F"/>
    <w:rsid w:val="003816A2"/>
    <w:rsid w:val="00382312"/>
    <w:rsid w:val="00391233"/>
    <w:rsid w:val="00391F8C"/>
    <w:rsid w:val="00393809"/>
    <w:rsid w:val="003A25E3"/>
    <w:rsid w:val="003A31FB"/>
    <w:rsid w:val="003A33CD"/>
    <w:rsid w:val="003A4266"/>
    <w:rsid w:val="003B0CDB"/>
    <w:rsid w:val="003C700A"/>
    <w:rsid w:val="003D2880"/>
    <w:rsid w:val="003D536A"/>
    <w:rsid w:val="003E4675"/>
    <w:rsid w:val="003F507F"/>
    <w:rsid w:val="003F5491"/>
    <w:rsid w:val="003F636D"/>
    <w:rsid w:val="00430E2C"/>
    <w:rsid w:val="00431424"/>
    <w:rsid w:val="0044586E"/>
    <w:rsid w:val="004521CF"/>
    <w:rsid w:val="0045276C"/>
    <w:rsid w:val="0046248B"/>
    <w:rsid w:val="004652DA"/>
    <w:rsid w:val="00472A88"/>
    <w:rsid w:val="00473EB9"/>
    <w:rsid w:val="00477FBA"/>
    <w:rsid w:val="00480DB5"/>
    <w:rsid w:val="0048485F"/>
    <w:rsid w:val="00491109"/>
    <w:rsid w:val="004B128D"/>
    <w:rsid w:val="004B5818"/>
    <w:rsid w:val="004B5947"/>
    <w:rsid w:val="004C0F86"/>
    <w:rsid w:val="004C5541"/>
    <w:rsid w:val="004C6E4E"/>
    <w:rsid w:val="004C7134"/>
    <w:rsid w:val="004D436F"/>
    <w:rsid w:val="004E216B"/>
    <w:rsid w:val="004E29CA"/>
    <w:rsid w:val="004E5439"/>
    <w:rsid w:val="004F597B"/>
    <w:rsid w:val="004F7277"/>
    <w:rsid w:val="005001C6"/>
    <w:rsid w:val="0050213F"/>
    <w:rsid w:val="005065B2"/>
    <w:rsid w:val="00511CC7"/>
    <w:rsid w:val="00513250"/>
    <w:rsid w:val="0051744E"/>
    <w:rsid w:val="00542F21"/>
    <w:rsid w:val="00544F9C"/>
    <w:rsid w:val="00547D24"/>
    <w:rsid w:val="00551745"/>
    <w:rsid w:val="005612B6"/>
    <w:rsid w:val="00573633"/>
    <w:rsid w:val="00576480"/>
    <w:rsid w:val="005904FB"/>
    <w:rsid w:val="00591EC6"/>
    <w:rsid w:val="00596D0C"/>
    <w:rsid w:val="005A008E"/>
    <w:rsid w:val="005A3D83"/>
    <w:rsid w:val="005B44A0"/>
    <w:rsid w:val="005B5EC7"/>
    <w:rsid w:val="005C247B"/>
    <w:rsid w:val="005D5F09"/>
    <w:rsid w:val="005D716C"/>
    <w:rsid w:val="005E2458"/>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BD9"/>
    <w:rsid w:val="006B6338"/>
    <w:rsid w:val="006B7A0F"/>
    <w:rsid w:val="006E55F8"/>
    <w:rsid w:val="006F4087"/>
    <w:rsid w:val="007009F8"/>
    <w:rsid w:val="0070254D"/>
    <w:rsid w:val="00713465"/>
    <w:rsid w:val="00713AF0"/>
    <w:rsid w:val="00722546"/>
    <w:rsid w:val="00725C1C"/>
    <w:rsid w:val="007418B7"/>
    <w:rsid w:val="007450D9"/>
    <w:rsid w:val="00762DC7"/>
    <w:rsid w:val="007712B2"/>
    <w:rsid w:val="007717B7"/>
    <w:rsid w:val="007847AC"/>
    <w:rsid w:val="00785A85"/>
    <w:rsid w:val="00792827"/>
    <w:rsid w:val="007929D8"/>
    <w:rsid w:val="00796403"/>
    <w:rsid w:val="007A17F0"/>
    <w:rsid w:val="007A5860"/>
    <w:rsid w:val="007B000E"/>
    <w:rsid w:val="007B10B4"/>
    <w:rsid w:val="007C5F03"/>
    <w:rsid w:val="007F3CD5"/>
    <w:rsid w:val="007F5341"/>
    <w:rsid w:val="007F7D33"/>
    <w:rsid w:val="00810943"/>
    <w:rsid w:val="008144BF"/>
    <w:rsid w:val="008174DB"/>
    <w:rsid w:val="00825B5C"/>
    <w:rsid w:val="008345E7"/>
    <w:rsid w:val="00841013"/>
    <w:rsid w:val="00844950"/>
    <w:rsid w:val="008570B5"/>
    <w:rsid w:val="00862190"/>
    <w:rsid w:val="00866338"/>
    <w:rsid w:val="008A16AD"/>
    <w:rsid w:val="008A1962"/>
    <w:rsid w:val="008A2D27"/>
    <w:rsid w:val="008A2E78"/>
    <w:rsid w:val="008A59A6"/>
    <w:rsid w:val="008B1438"/>
    <w:rsid w:val="008B22CD"/>
    <w:rsid w:val="008B26B5"/>
    <w:rsid w:val="008B30F1"/>
    <w:rsid w:val="008B54C9"/>
    <w:rsid w:val="008C2341"/>
    <w:rsid w:val="008D27A4"/>
    <w:rsid w:val="008F796D"/>
    <w:rsid w:val="00901341"/>
    <w:rsid w:val="0090604C"/>
    <w:rsid w:val="0093017D"/>
    <w:rsid w:val="009316ED"/>
    <w:rsid w:val="0094217E"/>
    <w:rsid w:val="00944153"/>
    <w:rsid w:val="00955A21"/>
    <w:rsid w:val="009568F2"/>
    <w:rsid w:val="009578C7"/>
    <w:rsid w:val="0096524C"/>
    <w:rsid w:val="009703A5"/>
    <w:rsid w:val="009A3634"/>
    <w:rsid w:val="009A4F28"/>
    <w:rsid w:val="009C05A6"/>
    <w:rsid w:val="009C26A6"/>
    <w:rsid w:val="009D104A"/>
    <w:rsid w:val="009D5AFF"/>
    <w:rsid w:val="009D6E9B"/>
    <w:rsid w:val="009D718A"/>
    <w:rsid w:val="009E0D57"/>
    <w:rsid w:val="009E1647"/>
    <w:rsid w:val="009E2D3B"/>
    <w:rsid w:val="00A02956"/>
    <w:rsid w:val="00A07C9B"/>
    <w:rsid w:val="00A1480C"/>
    <w:rsid w:val="00A15661"/>
    <w:rsid w:val="00A250CA"/>
    <w:rsid w:val="00A27817"/>
    <w:rsid w:val="00A44D75"/>
    <w:rsid w:val="00A44DB0"/>
    <w:rsid w:val="00A45F7A"/>
    <w:rsid w:val="00A52740"/>
    <w:rsid w:val="00A563CC"/>
    <w:rsid w:val="00A84EB0"/>
    <w:rsid w:val="00A856E7"/>
    <w:rsid w:val="00A87E72"/>
    <w:rsid w:val="00AA1116"/>
    <w:rsid w:val="00AA2B22"/>
    <w:rsid w:val="00AA6E76"/>
    <w:rsid w:val="00AB06B7"/>
    <w:rsid w:val="00AC1265"/>
    <w:rsid w:val="00AC57AE"/>
    <w:rsid w:val="00AC5CC1"/>
    <w:rsid w:val="00AD4EC7"/>
    <w:rsid w:val="00AD59F3"/>
    <w:rsid w:val="00AD66C6"/>
    <w:rsid w:val="00AE271D"/>
    <w:rsid w:val="00AE6DCC"/>
    <w:rsid w:val="00AF1CCE"/>
    <w:rsid w:val="00AF2754"/>
    <w:rsid w:val="00B05DA5"/>
    <w:rsid w:val="00B1197D"/>
    <w:rsid w:val="00B132C5"/>
    <w:rsid w:val="00B257BE"/>
    <w:rsid w:val="00B427F1"/>
    <w:rsid w:val="00B53162"/>
    <w:rsid w:val="00B53413"/>
    <w:rsid w:val="00B60398"/>
    <w:rsid w:val="00B66BD0"/>
    <w:rsid w:val="00B86D99"/>
    <w:rsid w:val="00B91863"/>
    <w:rsid w:val="00B95DD2"/>
    <w:rsid w:val="00BA1744"/>
    <w:rsid w:val="00BA7F8C"/>
    <w:rsid w:val="00BB19B6"/>
    <w:rsid w:val="00BB22E1"/>
    <w:rsid w:val="00BB32B0"/>
    <w:rsid w:val="00BC07B9"/>
    <w:rsid w:val="00BC0D9A"/>
    <w:rsid w:val="00BD5C25"/>
    <w:rsid w:val="00BD79A8"/>
    <w:rsid w:val="00BE0CF2"/>
    <w:rsid w:val="00BE2D3F"/>
    <w:rsid w:val="00BE3230"/>
    <w:rsid w:val="00BE48BA"/>
    <w:rsid w:val="00BE708E"/>
    <w:rsid w:val="00BF3154"/>
    <w:rsid w:val="00C04ADB"/>
    <w:rsid w:val="00C130B1"/>
    <w:rsid w:val="00C13946"/>
    <w:rsid w:val="00C17E21"/>
    <w:rsid w:val="00C2365A"/>
    <w:rsid w:val="00C3043C"/>
    <w:rsid w:val="00C344B6"/>
    <w:rsid w:val="00C34D92"/>
    <w:rsid w:val="00C41A20"/>
    <w:rsid w:val="00C43F58"/>
    <w:rsid w:val="00C442D5"/>
    <w:rsid w:val="00C44A32"/>
    <w:rsid w:val="00C45CD0"/>
    <w:rsid w:val="00C50311"/>
    <w:rsid w:val="00C53F98"/>
    <w:rsid w:val="00C611DB"/>
    <w:rsid w:val="00C71854"/>
    <w:rsid w:val="00C72906"/>
    <w:rsid w:val="00C8090A"/>
    <w:rsid w:val="00C80DB3"/>
    <w:rsid w:val="00C96D68"/>
    <w:rsid w:val="00CA1941"/>
    <w:rsid w:val="00CA7A07"/>
    <w:rsid w:val="00CB0BBA"/>
    <w:rsid w:val="00CB5BB1"/>
    <w:rsid w:val="00CC4CB4"/>
    <w:rsid w:val="00CC6315"/>
    <w:rsid w:val="00CC63AF"/>
    <w:rsid w:val="00CC63C1"/>
    <w:rsid w:val="00CD172D"/>
    <w:rsid w:val="00CE4ABD"/>
    <w:rsid w:val="00CF0043"/>
    <w:rsid w:val="00CF2F0F"/>
    <w:rsid w:val="00D0135A"/>
    <w:rsid w:val="00D07DA3"/>
    <w:rsid w:val="00D13DF5"/>
    <w:rsid w:val="00D261DA"/>
    <w:rsid w:val="00D44295"/>
    <w:rsid w:val="00D44B0A"/>
    <w:rsid w:val="00D46DC2"/>
    <w:rsid w:val="00D5271F"/>
    <w:rsid w:val="00D53349"/>
    <w:rsid w:val="00D574E9"/>
    <w:rsid w:val="00D601B9"/>
    <w:rsid w:val="00D645BB"/>
    <w:rsid w:val="00D7087B"/>
    <w:rsid w:val="00D736FF"/>
    <w:rsid w:val="00D84C7E"/>
    <w:rsid w:val="00D865EB"/>
    <w:rsid w:val="00D86B9D"/>
    <w:rsid w:val="00DA022C"/>
    <w:rsid w:val="00DA3081"/>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5D87"/>
    <w:rsid w:val="00E22DA2"/>
    <w:rsid w:val="00E23B3D"/>
    <w:rsid w:val="00E30BF7"/>
    <w:rsid w:val="00E402D3"/>
    <w:rsid w:val="00E419B3"/>
    <w:rsid w:val="00E47677"/>
    <w:rsid w:val="00E61140"/>
    <w:rsid w:val="00E66DC6"/>
    <w:rsid w:val="00E728CC"/>
    <w:rsid w:val="00E735FF"/>
    <w:rsid w:val="00E73B7E"/>
    <w:rsid w:val="00E73CE1"/>
    <w:rsid w:val="00E9570C"/>
    <w:rsid w:val="00EB3462"/>
    <w:rsid w:val="00EB36E9"/>
    <w:rsid w:val="00EB5A7E"/>
    <w:rsid w:val="00EC1384"/>
    <w:rsid w:val="00EC6FFD"/>
    <w:rsid w:val="00ED0F49"/>
    <w:rsid w:val="00EE312A"/>
    <w:rsid w:val="00EE48E5"/>
    <w:rsid w:val="00F00249"/>
    <w:rsid w:val="00F145D6"/>
    <w:rsid w:val="00F15D4C"/>
    <w:rsid w:val="00F17C4A"/>
    <w:rsid w:val="00F2122B"/>
    <w:rsid w:val="00F24C26"/>
    <w:rsid w:val="00F32C97"/>
    <w:rsid w:val="00F440AF"/>
    <w:rsid w:val="00F46FDC"/>
    <w:rsid w:val="00F510D6"/>
    <w:rsid w:val="00F5671C"/>
    <w:rsid w:val="00F63977"/>
    <w:rsid w:val="00F657CD"/>
    <w:rsid w:val="00F719D0"/>
    <w:rsid w:val="00F7253F"/>
    <w:rsid w:val="00F75DE6"/>
    <w:rsid w:val="00F76B38"/>
    <w:rsid w:val="00F851B8"/>
    <w:rsid w:val="00FB6085"/>
    <w:rsid w:val="00FC445C"/>
    <w:rsid w:val="00FD368C"/>
    <w:rsid w:val="00FE182C"/>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semiHidden/>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semiHidden/>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6.jpe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1.xml"/><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7.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5.2770448548812667E-2"/>
          <c:w val="0.9190529308836396"/>
          <c:h val="0.72639523441675802"/>
        </c:manualLayout>
      </c:layout>
      <c:barChart>
        <c:barDir val="col"/>
        <c:grouping val="clustered"/>
        <c:varyColors val="0"/>
        <c:ser>
          <c:idx val="0"/>
          <c:order val="0"/>
          <c:tx>
            <c:strRef>
              <c:f>month_merge!$B$1</c:f>
              <c:strCache>
                <c:ptCount val="1"/>
                <c:pt idx="0">
                  <c:v>Average Total Time Penalty (minutes) with original GTFS</c:v>
                </c:pt>
              </c:strCache>
            </c:strRef>
          </c:tx>
          <c:spPr>
            <a:solidFill>
              <a:schemeClr val="accent1"/>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month_merge!$B$2:$B$12</c:f>
              <c:numCache>
                <c:formatCode>General</c:formatCode>
                <c:ptCount val="11"/>
                <c:pt idx="0">
                  <c:v>3.3888333333333334</c:v>
                </c:pt>
                <c:pt idx="1">
                  <c:v>3.1751666666666667</c:v>
                </c:pt>
                <c:pt idx="2">
                  <c:v>3.5666666666666669</c:v>
                </c:pt>
                <c:pt idx="3">
                  <c:v>3.9994999999999998</c:v>
                </c:pt>
                <c:pt idx="4">
                  <c:v>3.2701666666666669</c:v>
                </c:pt>
                <c:pt idx="5">
                  <c:v>3.4356666666666666</c:v>
                </c:pt>
                <c:pt idx="6">
                  <c:v>5.3448333333333329</c:v>
                </c:pt>
                <c:pt idx="7">
                  <c:v>3.0766666666666667</c:v>
                </c:pt>
                <c:pt idx="8">
                  <c:v>4.1661666666666664</c:v>
                </c:pt>
                <c:pt idx="9">
                  <c:v>4.1091666666666669</c:v>
                </c:pt>
                <c:pt idx="10">
                  <c:v>2.2314999999999996</c:v>
                </c:pt>
              </c:numCache>
            </c:numRef>
          </c:val>
          <c:extLst>
            <c:ext xmlns:c16="http://schemas.microsoft.com/office/drawing/2014/chart" uri="{C3380CC4-5D6E-409C-BE32-E72D297353CC}">
              <c16:uniqueId val="{00000000-BEC8-4D1B-AA50-C972CFD37D48}"/>
            </c:ext>
          </c:extLst>
        </c:ser>
        <c:ser>
          <c:idx val="1"/>
          <c:order val="1"/>
          <c:tx>
            <c:strRef>
              <c:f>month_merge!$C$1</c:f>
              <c:strCache>
                <c:ptCount val="1"/>
                <c:pt idx="0">
                  <c:v>Transfer Risk (%) with original GTFS</c:v>
                </c:pt>
              </c:strCache>
            </c:strRef>
          </c:tx>
          <c:spPr>
            <a:solidFill>
              <a:schemeClr val="accent2"/>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month_merge!$C$2:$C$12</c:f>
              <c:numCache>
                <c:formatCode>General</c:formatCode>
                <c:ptCount val="11"/>
                <c:pt idx="0">
                  <c:v>6.58</c:v>
                </c:pt>
                <c:pt idx="1">
                  <c:v>6.34</c:v>
                </c:pt>
                <c:pt idx="2">
                  <c:v>6.98</c:v>
                </c:pt>
                <c:pt idx="3">
                  <c:v>7.66</c:v>
                </c:pt>
                <c:pt idx="4">
                  <c:v>6.2</c:v>
                </c:pt>
                <c:pt idx="5">
                  <c:v>6.78</c:v>
                </c:pt>
                <c:pt idx="6">
                  <c:v>10.01</c:v>
                </c:pt>
                <c:pt idx="7">
                  <c:v>5.74</c:v>
                </c:pt>
                <c:pt idx="8">
                  <c:v>7.9600000000000009</c:v>
                </c:pt>
                <c:pt idx="9">
                  <c:v>8.0500000000000007</c:v>
                </c:pt>
                <c:pt idx="10">
                  <c:v>4.78</c:v>
                </c:pt>
              </c:numCache>
            </c:numRef>
          </c:val>
          <c:extLst>
            <c:ext xmlns:c16="http://schemas.microsoft.com/office/drawing/2014/chart" uri="{C3380CC4-5D6E-409C-BE32-E72D297353CC}">
              <c16:uniqueId val="{00000001-BEC8-4D1B-AA50-C972CFD37D48}"/>
            </c:ext>
          </c:extLst>
        </c:ser>
        <c:ser>
          <c:idx val="2"/>
          <c:order val="2"/>
          <c:tx>
            <c:strRef>
              <c:f>month_merge!$H$1</c:f>
              <c:strCache>
                <c:ptCount val="1"/>
                <c:pt idx="0">
                  <c:v>Average Total Time Penalty (minutes) with APC-GTFS</c:v>
                </c:pt>
              </c:strCache>
            </c:strRef>
          </c:tx>
          <c:spPr>
            <a:pattFill prst="wdDnDiag">
              <a:fgClr>
                <a:schemeClr val="accent1"/>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month_merge!$H$2:$H$13</c:f>
              <c:numCache>
                <c:formatCode>General</c:formatCode>
                <c:ptCount val="12"/>
                <c:pt idx="3">
                  <c:v>4.9178333333333333</c:v>
                </c:pt>
                <c:pt idx="4">
                  <c:v>3.9084999999999996</c:v>
                </c:pt>
                <c:pt idx="5">
                  <c:v>4.2545000000000002</c:v>
                </c:pt>
                <c:pt idx="6">
                  <c:v>6.0679999999999996</c:v>
                </c:pt>
                <c:pt idx="7">
                  <c:v>3.6955</c:v>
                </c:pt>
                <c:pt idx="8">
                  <c:v>4.7540000000000004</c:v>
                </c:pt>
                <c:pt idx="9">
                  <c:v>4.6979999999999995</c:v>
                </c:pt>
                <c:pt idx="10">
                  <c:v>3.1671666666666667</c:v>
                </c:pt>
                <c:pt idx="11">
                  <c:v>2.7395</c:v>
                </c:pt>
              </c:numCache>
            </c:numRef>
          </c:val>
          <c:extLst>
            <c:ext xmlns:c16="http://schemas.microsoft.com/office/drawing/2014/chart" uri="{C3380CC4-5D6E-409C-BE32-E72D297353CC}">
              <c16:uniqueId val="{00000002-BEC8-4D1B-AA50-C972CFD37D48}"/>
            </c:ext>
          </c:extLst>
        </c:ser>
        <c:ser>
          <c:idx val="3"/>
          <c:order val="3"/>
          <c:tx>
            <c:strRef>
              <c:f>month_merge!$I$1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month_merge!$I$2:$I$13</c:f>
              <c:numCache>
                <c:formatCode>General</c:formatCode>
                <c:ptCount val="12"/>
                <c:pt idx="3">
                  <c:v>9.1999999999999993</c:v>
                </c:pt>
                <c:pt idx="4">
                  <c:v>7.24</c:v>
                </c:pt>
                <c:pt idx="5">
                  <c:v>8.15</c:v>
                </c:pt>
                <c:pt idx="6">
                  <c:v>11.27</c:v>
                </c:pt>
                <c:pt idx="7">
                  <c:v>6.8500000000000005</c:v>
                </c:pt>
                <c:pt idx="8">
                  <c:v>9.0399999999999991</c:v>
                </c:pt>
                <c:pt idx="9">
                  <c:v>9.1300000000000008</c:v>
                </c:pt>
                <c:pt idx="10">
                  <c:v>6.34</c:v>
                </c:pt>
                <c:pt idx="11">
                  <c:v>5.7799999999999994</c:v>
                </c:pt>
              </c:numCache>
            </c:numRef>
          </c:val>
          <c:extLst>
            <c:ext xmlns:c16="http://schemas.microsoft.com/office/drawing/2014/chart" uri="{C3380CC4-5D6E-409C-BE32-E72D297353CC}">
              <c16:uniqueId val="{00000003-BEC8-4D1B-AA50-C972CFD37D48}"/>
            </c:ext>
          </c:extLst>
        </c:ser>
        <c:dLbls>
          <c:showLegendKey val="0"/>
          <c:showVal val="0"/>
          <c:showCatName val="0"/>
          <c:showSerName val="0"/>
          <c:showPercent val="0"/>
          <c:showBubbleSize val="0"/>
        </c:dLbls>
        <c:gapWidth val="219"/>
        <c:overlap val="-27"/>
        <c:axId val="450160024"/>
        <c:axId val="450161992"/>
      </c:barChart>
      <c:catAx>
        <c:axId val="450160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1992"/>
        <c:crosses val="autoZero"/>
        <c:auto val="1"/>
        <c:lblAlgn val="ctr"/>
        <c:lblOffset val="100"/>
        <c:noMultiLvlLbl val="0"/>
      </c:catAx>
      <c:valAx>
        <c:axId val="450161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0024"/>
        <c:crosses val="autoZero"/>
        <c:crossBetween val="between"/>
      </c:valAx>
      <c:spPr>
        <a:noFill/>
        <a:ln>
          <a:noFill/>
        </a:ln>
        <a:effectLst/>
      </c:spPr>
    </c:plotArea>
    <c:legend>
      <c:legendPos val="b"/>
      <c:layout>
        <c:manualLayout>
          <c:xMode val="edge"/>
          <c:yMode val="edge"/>
          <c:x val="9.8214311752697583E-2"/>
          <c:y val="0.85880750873998746"/>
          <c:w val="0.89847860163312931"/>
          <c:h val="0.13822193429946947"/>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7.1428571428571425E-2"/>
          <c:w val="0.9190529308836396"/>
          <c:h val="0.66899310706042614"/>
        </c:manualLayout>
      </c:layout>
      <c:barChart>
        <c:barDir val="col"/>
        <c:grouping val="clustered"/>
        <c:varyColors val="0"/>
        <c:ser>
          <c:idx val="0"/>
          <c:order val="0"/>
          <c:tx>
            <c:strRef>
              <c:f>weekday_merge!$B$1</c:f>
              <c:strCache>
                <c:ptCount val="1"/>
                <c:pt idx="0">
                  <c:v>Average Total Time Penalty (minutes) with original GTFS</c:v>
                </c:pt>
              </c:strCache>
            </c:strRef>
          </c:tx>
          <c:spPr>
            <a:solidFill>
              <a:schemeClr val="accent1"/>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weekday_merge!$B$2:$B$8</c:f>
              <c:numCache>
                <c:formatCode>General</c:formatCode>
                <c:ptCount val="7"/>
                <c:pt idx="0">
                  <c:v>3.4506666666666663</c:v>
                </c:pt>
                <c:pt idx="1">
                  <c:v>3.7636666666666665</c:v>
                </c:pt>
                <c:pt idx="2">
                  <c:v>3.8285</c:v>
                </c:pt>
                <c:pt idx="3">
                  <c:v>3.9910000000000001</c:v>
                </c:pt>
                <c:pt idx="4">
                  <c:v>4.2840000000000007</c:v>
                </c:pt>
                <c:pt idx="5">
                  <c:v>3.5513333333333335</c:v>
                </c:pt>
                <c:pt idx="6">
                  <c:v>3.1508333333333334</c:v>
                </c:pt>
              </c:numCache>
            </c:numRef>
          </c:val>
          <c:extLst>
            <c:ext xmlns:c16="http://schemas.microsoft.com/office/drawing/2014/chart" uri="{C3380CC4-5D6E-409C-BE32-E72D297353CC}">
              <c16:uniqueId val="{00000000-7F37-486D-AA99-19D8902FDC87}"/>
            </c:ext>
          </c:extLst>
        </c:ser>
        <c:ser>
          <c:idx val="1"/>
          <c:order val="1"/>
          <c:tx>
            <c:strRef>
              <c:f>weekday_merge!$C$1</c:f>
              <c:strCache>
                <c:ptCount val="1"/>
                <c:pt idx="0">
                  <c:v>Transfer Risk (%) with original GTFS</c:v>
                </c:pt>
              </c:strCache>
            </c:strRef>
          </c:tx>
          <c:spPr>
            <a:solidFill>
              <a:schemeClr val="accent2"/>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weekday_merge!$C$2:$C$8</c:f>
              <c:numCache>
                <c:formatCode>General</c:formatCode>
                <c:ptCount val="7"/>
                <c:pt idx="0">
                  <c:v>6.7299999999999995</c:v>
                </c:pt>
                <c:pt idx="1">
                  <c:v>7.24</c:v>
                </c:pt>
                <c:pt idx="2">
                  <c:v>7.28</c:v>
                </c:pt>
                <c:pt idx="3">
                  <c:v>7.5600000000000005</c:v>
                </c:pt>
                <c:pt idx="4">
                  <c:v>8.129999999999999</c:v>
                </c:pt>
                <c:pt idx="5">
                  <c:v>6.8900000000000006</c:v>
                </c:pt>
                <c:pt idx="6">
                  <c:v>5.81</c:v>
                </c:pt>
              </c:numCache>
            </c:numRef>
          </c:val>
          <c:extLst>
            <c:ext xmlns:c16="http://schemas.microsoft.com/office/drawing/2014/chart" uri="{C3380CC4-5D6E-409C-BE32-E72D297353CC}">
              <c16:uniqueId val="{00000001-7F37-486D-AA99-19D8902FDC87}"/>
            </c:ext>
          </c:extLst>
        </c:ser>
        <c:ser>
          <c:idx val="2"/>
          <c:order val="2"/>
          <c:tx>
            <c:strRef>
              <c:f>weekday_merge!$H$1</c:f>
              <c:strCache>
                <c:ptCount val="1"/>
                <c:pt idx="0">
                  <c:v>Average Total Time Penalty (minutes) with APC-GTFS</c:v>
                </c:pt>
              </c:strCache>
            </c:strRef>
          </c:tx>
          <c:spPr>
            <a:pattFill prst="wdUpDiag">
              <a:fgClr>
                <a:schemeClr val="accent1"/>
              </a:fgClr>
              <a:bgClr>
                <a:schemeClr val="bg1"/>
              </a:bgClr>
            </a:pattFill>
            <a:ln cap="rnd">
              <a:noFill/>
              <a:prstDash val="solid"/>
            </a:ln>
            <a:effectLst/>
          </c:spPr>
          <c:invertIfNegative val="1"/>
          <c:cat>
            <c:strRef>
              <c:f>weekday_merge!$A$2:$A$8</c:f>
              <c:strCache>
                <c:ptCount val="7"/>
                <c:pt idx="0">
                  <c:v>Mon</c:v>
                </c:pt>
                <c:pt idx="1">
                  <c:v>Tue</c:v>
                </c:pt>
                <c:pt idx="2">
                  <c:v>Wed</c:v>
                </c:pt>
                <c:pt idx="3">
                  <c:v>Thu</c:v>
                </c:pt>
                <c:pt idx="4">
                  <c:v>Fri</c:v>
                </c:pt>
                <c:pt idx="5">
                  <c:v>Sat</c:v>
                </c:pt>
                <c:pt idx="6">
                  <c:v>Sun</c:v>
                </c:pt>
              </c:strCache>
            </c:strRef>
          </c:cat>
          <c:val>
            <c:numRef>
              <c:f>weekday_merge!$H$2:$H$8</c:f>
              <c:numCache>
                <c:formatCode>General</c:formatCode>
                <c:ptCount val="7"/>
                <c:pt idx="0">
                  <c:v>4.1086666666666671</c:v>
                </c:pt>
                <c:pt idx="1">
                  <c:v>4.5668333333333333</c:v>
                </c:pt>
                <c:pt idx="2">
                  <c:v>4.3624999999999998</c:v>
                </c:pt>
                <c:pt idx="3">
                  <c:v>4.722833333333333</c:v>
                </c:pt>
                <c:pt idx="4">
                  <c:v>5.0161666666666669</c:v>
                </c:pt>
                <c:pt idx="5">
                  <c:v>4.3475000000000001</c:v>
                </c:pt>
                <c:pt idx="6">
                  <c:v>4.9356666666666662</c:v>
                </c:pt>
              </c:numCache>
            </c:numRef>
          </c:val>
          <c:extLst>
            <c:ext xmlns:c16="http://schemas.microsoft.com/office/drawing/2014/chart" uri="{C3380CC4-5D6E-409C-BE32-E72D297353CC}">
              <c16:uniqueId val="{00000002-7F37-486D-AA99-19D8902FDC87}"/>
            </c:ext>
          </c:extLst>
        </c:ser>
        <c:ser>
          <c:idx val="3"/>
          <c:order val="3"/>
          <c:tx>
            <c:strRef>
              <c:f>weekday_merge!$I$1</c:f>
              <c:strCache>
                <c:ptCount val="1"/>
                <c:pt idx="0">
                  <c:v>Transfer Risk (%) with APC-GTFS</c:v>
                </c:pt>
              </c:strCache>
            </c:strRef>
          </c:tx>
          <c:spPr>
            <a:pattFill prst="wdUpDiag">
              <a:fgClr>
                <a:schemeClr val="accent2"/>
              </a:fgClr>
              <a:bgClr>
                <a:schemeClr val="bg1"/>
              </a:bgClr>
            </a:patt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weekday_merge!$I$2:$I$8</c:f>
              <c:numCache>
                <c:formatCode>General</c:formatCode>
                <c:ptCount val="7"/>
                <c:pt idx="0">
                  <c:v>8.09</c:v>
                </c:pt>
                <c:pt idx="1">
                  <c:v>8.75</c:v>
                </c:pt>
                <c:pt idx="2">
                  <c:v>8.4</c:v>
                </c:pt>
                <c:pt idx="3">
                  <c:v>8.91</c:v>
                </c:pt>
                <c:pt idx="4">
                  <c:v>9.4499999999999993</c:v>
                </c:pt>
                <c:pt idx="5">
                  <c:v>8.27</c:v>
                </c:pt>
                <c:pt idx="6">
                  <c:v>7.7700000000000005</c:v>
                </c:pt>
              </c:numCache>
            </c:numRef>
          </c:val>
          <c:extLst>
            <c:ext xmlns:c16="http://schemas.microsoft.com/office/drawing/2014/chart" uri="{C3380CC4-5D6E-409C-BE32-E72D297353CC}">
              <c16:uniqueId val="{00000003-7F37-486D-AA99-19D8902FDC87}"/>
            </c:ext>
          </c:extLst>
        </c:ser>
        <c:dLbls>
          <c:showLegendKey val="0"/>
          <c:showVal val="0"/>
          <c:showCatName val="0"/>
          <c:showSerName val="0"/>
          <c:showPercent val="0"/>
          <c:showBubbleSize val="0"/>
        </c:dLbls>
        <c:gapWidth val="219"/>
        <c:overlap val="-27"/>
        <c:axId val="513125232"/>
        <c:axId val="513117360"/>
      </c:barChart>
      <c:catAx>
        <c:axId val="51312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17360"/>
        <c:crosses val="autoZero"/>
        <c:auto val="1"/>
        <c:lblAlgn val="ctr"/>
        <c:lblOffset val="100"/>
        <c:noMultiLvlLbl val="0"/>
      </c:catAx>
      <c:valAx>
        <c:axId val="51311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25232"/>
        <c:crosses val="autoZero"/>
        <c:crossBetween val="between"/>
      </c:valAx>
      <c:spPr>
        <a:noFill/>
        <a:ln>
          <a:noFill/>
        </a:ln>
        <a:effectLst/>
      </c:spPr>
    </c:plotArea>
    <c:legend>
      <c:legendPos val="b"/>
      <c:layout>
        <c:manualLayout>
          <c:xMode val="edge"/>
          <c:yMode val="edge"/>
          <c:x val="9.1738298337707788E-2"/>
          <c:y val="0.84888945699969331"/>
          <c:w val="0.89930683143773693"/>
          <c:h val="0.1493066491688538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106882473024207E-2"/>
          <c:y val="5.8001581861323488E-2"/>
          <c:w val="0.85104549431321086"/>
          <c:h val="0.68362026194128833"/>
        </c:manualLayout>
      </c:layout>
      <c:lineChart>
        <c:grouping val="standard"/>
        <c:varyColors val="0"/>
        <c:ser>
          <c:idx val="2"/>
          <c:order val="1"/>
          <c:tx>
            <c:strRef>
              <c:f>hour_merge!$G$1</c:f>
              <c:strCache>
                <c:ptCount val="1"/>
                <c:pt idx="0">
                  <c:v>Average Total Time Penalty (minutes) with APC-GTFS</c:v>
                </c:pt>
              </c:strCache>
            </c:strRef>
          </c:tx>
          <c:spPr>
            <a:ln w="19050" cap="rnd">
              <a:solidFill>
                <a:schemeClr val="accent1"/>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hour_merge!$G$2:$G$20</c:f>
              <c:numCache>
                <c:formatCode>General</c:formatCode>
                <c:ptCount val="19"/>
                <c:pt idx="0">
                  <c:v>1.4001666666666668</c:v>
                </c:pt>
                <c:pt idx="1">
                  <c:v>2.3188333333333331</c:v>
                </c:pt>
                <c:pt idx="2">
                  <c:v>2.887</c:v>
                </c:pt>
                <c:pt idx="3">
                  <c:v>3.8763333333333336</c:v>
                </c:pt>
                <c:pt idx="4">
                  <c:v>4.0614999999999997</c:v>
                </c:pt>
                <c:pt idx="5">
                  <c:v>3.8333333333333335</c:v>
                </c:pt>
                <c:pt idx="6">
                  <c:v>3.9144999999999999</c:v>
                </c:pt>
                <c:pt idx="7">
                  <c:v>4.166666666666667</c:v>
                </c:pt>
                <c:pt idx="8">
                  <c:v>4.323666666666667</c:v>
                </c:pt>
                <c:pt idx="9">
                  <c:v>4.3763333333333332</c:v>
                </c:pt>
                <c:pt idx="10">
                  <c:v>5.5445000000000002</c:v>
                </c:pt>
                <c:pt idx="11">
                  <c:v>5.3559999999999999</c:v>
                </c:pt>
                <c:pt idx="12">
                  <c:v>6.7661666666666669</c:v>
                </c:pt>
                <c:pt idx="13">
                  <c:v>6.1588333333333329</c:v>
                </c:pt>
                <c:pt idx="14">
                  <c:v>5.1988333333333339</c:v>
                </c:pt>
                <c:pt idx="15">
                  <c:v>4.4961666666666664</c:v>
                </c:pt>
                <c:pt idx="16">
                  <c:v>4.7844999999999995</c:v>
                </c:pt>
                <c:pt idx="17">
                  <c:v>5.6381666666666668</c:v>
                </c:pt>
                <c:pt idx="18">
                  <c:v>6.0398333333333332</c:v>
                </c:pt>
              </c:numCache>
            </c:numRef>
          </c:val>
          <c:smooth val="0"/>
          <c:extLst>
            <c:ext xmlns:c16="http://schemas.microsoft.com/office/drawing/2014/chart" uri="{C3380CC4-5D6E-409C-BE32-E72D297353CC}">
              <c16:uniqueId val="{00000000-1C21-4197-B5AE-C4E03FEFEC05}"/>
            </c:ext>
          </c:extLst>
        </c:ser>
        <c:ser>
          <c:idx val="3"/>
          <c:order val="2"/>
          <c:tx>
            <c:strRef>
              <c:f>hour_merge!$H$1</c:f>
              <c:strCache>
                <c:ptCount val="1"/>
                <c:pt idx="0">
                  <c:v>Transfer Risk (%) with APC-GTFS</c:v>
                </c:pt>
              </c:strCache>
            </c:strRef>
          </c:tx>
          <c:spPr>
            <a:ln w="19050" cap="rnd">
              <a:solidFill>
                <a:schemeClr val="accent2"/>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hour_merge!$H$2:$H$20</c:f>
              <c:numCache>
                <c:formatCode>General</c:formatCode>
                <c:ptCount val="19"/>
                <c:pt idx="0">
                  <c:v>1.4500000000000002</c:v>
                </c:pt>
                <c:pt idx="1">
                  <c:v>4.1900000000000004</c:v>
                </c:pt>
                <c:pt idx="2">
                  <c:v>7.19</c:v>
                </c:pt>
                <c:pt idx="3">
                  <c:v>8.6999999999999993</c:v>
                </c:pt>
                <c:pt idx="4">
                  <c:v>8.08</c:v>
                </c:pt>
                <c:pt idx="5">
                  <c:v>7.41</c:v>
                </c:pt>
                <c:pt idx="6">
                  <c:v>7.21</c:v>
                </c:pt>
                <c:pt idx="7">
                  <c:v>7.8299999999999992</c:v>
                </c:pt>
                <c:pt idx="8">
                  <c:v>8.2799999999999994</c:v>
                </c:pt>
                <c:pt idx="9">
                  <c:v>8.42</c:v>
                </c:pt>
                <c:pt idx="10">
                  <c:v>9.2100000000000009</c:v>
                </c:pt>
                <c:pt idx="11">
                  <c:v>9.89</c:v>
                </c:pt>
                <c:pt idx="12">
                  <c:v>11.540000000000001</c:v>
                </c:pt>
                <c:pt idx="13">
                  <c:v>12.08</c:v>
                </c:pt>
                <c:pt idx="14">
                  <c:v>10.17</c:v>
                </c:pt>
                <c:pt idx="15">
                  <c:v>8.24</c:v>
                </c:pt>
                <c:pt idx="16">
                  <c:v>7.1800000000000006</c:v>
                </c:pt>
                <c:pt idx="17">
                  <c:v>8</c:v>
                </c:pt>
                <c:pt idx="18">
                  <c:v>8.35</c:v>
                </c:pt>
              </c:numCache>
            </c:numRef>
          </c:val>
          <c:smooth val="0"/>
          <c:extLst>
            <c:ext xmlns:c16="http://schemas.microsoft.com/office/drawing/2014/chart" uri="{C3380CC4-5D6E-409C-BE32-E72D297353CC}">
              <c16:uniqueId val="{00000001-1C21-4197-B5AE-C4E03FEFEC05}"/>
            </c:ext>
          </c:extLst>
        </c:ser>
        <c:ser>
          <c:idx val="0"/>
          <c:order val="3"/>
          <c:tx>
            <c:strRef>
              <c:f>hour_merge!$B$1</c:f>
              <c:strCache>
                <c:ptCount val="1"/>
                <c:pt idx="0">
                  <c:v>Average Total Time Penalty (minutes) with original GTFS</c:v>
                </c:pt>
              </c:strCache>
            </c:strRef>
          </c:tx>
          <c:spPr>
            <a:ln w="19050"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hour_merge!$B$2:$B$20</c:f>
              <c:numCache>
                <c:formatCode>General</c:formatCode>
                <c:ptCount val="19"/>
                <c:pt idx="0">
                  <c:v>1.8496666666666699</c:v>
                </c:pt>
                <c:pt idx="1">
                  <c:v>2.3556666666666666</c:v>
                </c:pt>
                <c:pt idx="2">
                  <c:v>2.9855</c:v>
                </c:pt>
                <c:pt idx="3">
                  <c:v>3.3673333333333333</c:v>
                </c:pt>
                <c:pt idx="4">
                  <c:v>3.2633333333333336</c:v>
                </c:pt>
                <c:pt idx="5">
                  <c:v>3.1390000000000002</c:v>
                </c:pt>
                <c:pt idx="6">
                  <c:v>3.3028333333333331</c:v>
                </c:pt>
                <c:pt idx="7">
                  <c:v>3.4863333333333335</c:v>
                </c:pt>
                <c:pt idx="8">
                  <c:v>3.5451666666666668</c:v>
                </c:pt>
                <c:pt idx="9">
                  <c:v>4.2473333333333336</c:v>
                </c:pt>
                <c:pt idx="10">
                  <c:v>4.5409999999999995</c:v>
                </c:pt>
                <c:pt idx="11">
                  <c:v>5.1028333333333338</c:v>
                </c:pt>
                <c:pt idx="12">
                  <c:v>5.1710000000000003</c:v>
                </c:pt>
                <c:pt idx="13">
                  <c:v>4.5486666666666666</c:v>
                </c:pt>
                <c:pt idx="14">
                  <c:v>3.846166666666667</c:v>
                </c:pt>
                <c:pt idx="15">
                  <c:v>3.7611666666666665</c:v>
                </c:pt>
                <c:pt idx="16">
                  <c:v>3.9689999999999999</c:v>
                </c:pt>
                <c:pt idx="17">
                  <c:v>4.4671666666666665</c:v>
                </c:pt>
                <c:pt idx="18">
                  <c:v>4.6860000000000008</c:v>
                </c:pt>
              </c:numCache>
            </c:numRef>
          </c:val>
          <c:smooth val="1"/>
          <c:extLst>
            <c:ext xmlns:c16="http://schemas.microsoft.com/office/drawing/2014/chart" uri="{C3380CC4-5D6E-409C-BE32-E72D297353CC}">
              <c16:uniqueId val="{00000002-1C21-4197-B5AE-C4E03FEFEC05}"/>
            </c:ext>
          </c:extLst>
        </c:ser>
        <c:dLbls>
          <c:showLegendKey val="0"/>
          <c:showVal val="0"/>
          <c:showCatName val="0"/>
          <c:showSerName val="0"/>
          <c:showPercent val="0"/>
          <c:showBubbleSize val="0"/>
        </c:dLbls>
        <c:marker val="1"/>
        <c:smooth val="0"/>
        <c:axId val="453587528"/>
        <c:axId val="453588840"/>
      </c:lineChart>
      <c:lineChart>
        <c:grouping val="standard"/>
        <c:varyColors val="0"/>
        <c:ser>
          <c:idx val="1"/>
          <c:order val="0"/>
          <c:tx>
            <c:strRef>
              <c:f>hour_merge!$C$1</c:f>
              <c:strCache>
                <c:ptCount val="1"/>
                <c:pt idx="0">
                  <c:v>Transfer Risk (%) with original GTFS</c:v>
                </c:pt>
              </c:strCache>
            </c:strRef>
          </c:tx>
          <c:spPr>
            <a:ln w="19050"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hour_merge!$C$2:$C$20</c:f>
              <c:numCache>
                <c:formatCode>General</c:formatCode>
                <c:ptCount val="19"/>
                <c:pt idx="0">
                  <c:v>3.17</c:v>
                </c:pt>
                <c:pt idx="1">
                  <c:v>5</c:v>
                </c:pt>
                <c:pt idx="2">
                  <c:v>6.47</c:v>
                </c:pt>
                <c:pt idx="3">
                  <c:v>6.94</c:v>
                </c:pt>
                <c:pt idx="4">
                  <c:v>6.49</c:v>
                </c:pt>
                <c:pt idx="5">
                  <c:v>5.99</c:v>
                </c:pt>
                <c:pt idx="6">
                  <c:v>6.370000000000001</c:v>
                </c:pt>
                <c:pt idx="7">
                  <c:v>6.93</c:v>
                </c:pt>
                <c:pt idx="8">
                  <c:v>7.1400000000000006</c:v>
                </c:pt>
                <c:pt idx="9">
                  <c:v>7.68</c:v>
                </c:pt>
                <c:pt idx="10">
                  <c:v>8.48</c:v>
                </c:pt>
                <c:pt idx="11">
                  <c:v>9.41</c:v>
                </c:pt>
                <c:pt idx="12">
                  <c:v>10.15</c:v>
                </c:pt>
                <c:pt idx="13">
                  <c:v>9.1800000000000015</c:v>
                </c:pt>
                <c:pt idx="14">
                  <c:v>7.4399999999999995</c:v>
                </c:pt>
                <c:pt idx="15">
                  <c:v>6.08</c:v>
                </c:pt>
                <c:pt idx="16">
                  <c:v>5.7700000000000005</c:v>
                </c:pt>
                <c:pt idx="17">
                  <c:v>6.1</c:v>
                </c:pt>
                <c:pt idx="18">
                  <c:v>6.5600000000000005</c:v>
                </c:pt>
              </c:numCache>
            </c:numRef>
          </c:val>
          <c:smooth val="1"/>
          <c:extLst>
            <c:ext xmlns:c16="http://schemas.microsoft.com/office/drawing/2014/chart" uri="{C3380CC4-5D6E-409C-BE32-E72D297353CC}">
              <c16:uniqueId val="{00000003-1C21-4197-B5AE-C4E03FEFEC05}"/>
            </c:ext>
          </c:extLst>
        </c:ser>
        <c:dLbls>
          <c:showLegendKey val="0"/>
          <c:showVal val="0"/>
          <c:showCatName val="0"/>
          <c:showSerName val="0"/>
          <c:showPercent val="0"/>
          <c:showBubbleSize val="0"/>
        </c:dLbls>
        <c:marker val="1"/>
        <c:smooth val="0"/>
        <c:axId val="513100960"/>
        <c:axId val="513098664"/>
      </c:lineChart>
      <c:catAx>
        <c:axId val="453587528"/>
        <c:scaling>
          <c:orientation val="minMax"/>
        </c:scaling>
        <c:delete val="0"/>
        <c:axPos val="b"/>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8840"/>
        <c:crosses val="autoZero"/>
        <c:auto val="1"/>
        <c:lblAlgn val="ctr"/>
        <c:lblOffset val="100"/>
        <c:noMultiLvlLbl val="0"/>
      </c:catAx>
      <c:valAx>
        <c:axId val="453588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Minutes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7528"/>
        <c:crosses val="autoZero"/>
        <c:crossBetween val="between"/>
      </c:valAx>
      <c:valAx>
        <c:axId val="5130986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00960"/>
        <c:crosses val="max"/>
        <c:crossBetween val="between"/>
      </c:valAx>
      <c:catAx>
        <c:axId val="513100960"/>
        <c:scaling>
          <c:orientation val="minMax"/>
        </c:scaling>
        <c:delete val="1"/>
        <c:axPos val="b"/>
        <c:numFmt formatCode="h:mm" sourceLinked="1"/>
        <c:majorTickMark val="out"/>
        <c:minorTickMark val="none"/>
        <c:tickLblPos val="nextTo"/>
        <c:crossAx val="513098664"/>
        <c:crosses val="autoZero"/>
        <c:auto val="1"/>
        <c:lblAlgn val="ctr"/>
        <c:lblOffset val="100"/>
        <c:noMultiLvlLbl val="0"/>
      </c:catAx>
      <c:spPr>
        <a:noFill/>
        <a:ln>
          <a:noFill/>
        </a:ln>
        <a:effectLst/>
      </c:spPr>
    </c:plotArea>
    <c:legend>
      <c:legendPos val="b"/>
      <c:layout>
        <c:manualLayout>
          <c:xMode val="edge"/>
          <c:yMode val="edge"/>
          <c:x val="8.7854330708661402E-2"/>
          <c:y val="0.88813998434746144"/>
          <c:w val="0.90833005249343834"/>
          <c:h val="0.11054065542578385"/>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D3CD6-859B-4DE1-BF96-8DB780467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7689</TotalTime>
  <Pages>26</Pages>
  <Words>18334</Words>
  <Characters>104509</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299</cp:revision>
  <cp:lastPrinted>2019-03-29T20:31:00Z</cp:lastPrinted>
  <dcterms:created xsi:type="dcterms:W3CDTF">2019-09-12T21:31:00Z</dcterms:created>
  <dcterms:modified xsi:type="dcterms:W3CDTF">2019-10-02T23:41:00Z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